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F172" w14:textId="4FB63A3A" w:rsidR="00301124" w:rsidRDefault="00D23E02" w:rsidP="00754FD1">
      <w:pPr>
        <w:pStyle w:val="Title"/>
        <w:keepLines/>
        <w:widowControl/>
      </w:pPr>
      <w:r w:rsidRPr="00AB56BB">
        <w:t>Virginia Regulatory Assessment Template</w:t>
      </w:r>
    </w:p>
    <w:p w14:paraId="1C462129" w14:textId="77777777" w:rsidR="000460F7" w:rsidRPr="008C5672" w:rsidRDefault="000460F7" w:rsidP="000460F7">
      <w:pPr>
        <w:pStyle w:val="Title"/>
        <w:keepLines/>
        <w:widowControl/>
        <w:jc w:val="left"/>
        <w:rPr>
          <w:sz w:val="24"/>
          <w:szCs w:val="24"/>
        </w:rPr>
      </w:pPr>
    </w:p>
    <w:p w14:paraId="2DACFD39" w14:textId="77777777" w:rsidR="005A69A8" w:rsidRDefault="000460F7" w:rsidP="000D6A65">
      <w:pPr>
        <w:pStyle w:val="Title"/>
        <w:keepLines/>
        <w:widowControl/>
        <w:ind w:left="180"/>
        <w:jc w:val="left"/>
        <w:rPr>
          <w:sz w:val="22"/>
          <w:szCs w:val="22"/>
        </w:rPr>
      </w:pPr>
      <w:r w:rsidRPr="000460F7">
        <w:rPr>
          <w:b/>
          <w:bCs/>
          <w:sz w:val="22"/>
          <w:szCs w:val="22"/>
        </w:rPr>
        <w:t>Instructions:</w:t>
      </w:r>
    </w:p>
    <w:p w14:paraId="35B8A83E" w14:textId="77777777" w:rsidR="005A69A8" w:rsidRDefault="000460F7" w:rsidP="005A69A8">
      <w:pPr>
        <w:pStyle w:val="Title"/>
        <w:keepLines/>
        <w:widowControl/>
        <w:numPr>
          <w:ilvl w:val="0"/>
          <w:numId w:val="2"/>
        </w:numPr>
        <w:jc w:val="left"/>
        <w:rPr>
          <w:sz w:val="22"/>
          <w:szCs w:val="22"/>
        </w:rPr>
      </w:pPr>
      <w:r w:rsidRPr="000460F7">
        <w:rPr>
          <w:sz w:val="22"/>
          <w:szCs w:val="22"/>
        </w:rPr>
        <w:t xml:space="preserve">Select one (1) “performance area” or outcome from the following set to evaluate how </w:t>
      </w:r>
      <w:r w:rsidRPr="000460F7">
        <w:rPr>
          <w:sz w:val="22"/>
          <w:szCs w:val="22"/>
          <w:u w:val="single"/>
        </w:rPr>
        <w:t>existing</w:t>
      </w:r>
      <w:r w:rsidRPr="000460F7">
        <w:rPr>
          <w:sz w:val="22"/>
          <w:szCs w:val="22"/>
        </w:rPr>
        <w:t xml:space="preserve"> regulatory mechanisms in Virginia support (incentivize) </w:t>
      </w:r>
      <w:r w:rsidR="00BF11FB">
        <w:rPr>
          <w:sz w:val="22"/>
          <w:szCs w:val="22"/>
        </w:rPr>
        <w:t xml:space="preserve">the </w:t>
      </w:r>
      <w:r w:rsidRPr="000460F7">
        <w:rPr>
          <w:sz w:val="22"/>
          <w:szCs w:val="22"/>
        </w:rPr>
        <w:t xml:space="preserve">achievement of that outcome or </w:t>
      </w:r>
      <w:r w:rsidR="00BF11FB">
        <w:rPr>
          <w:sz w:val="22"/>
          <w:szCs w:val="22"/>
        </w:rPr>
        <w:t>disincentivize</w:t>
      </w:r>
      <w:r w:rsidRPr="000460F7">
        <w:rPr>
          <w:sz w:val="22"/>
          <w:szCs w:val="22"/>
        </w:rPr>
        <w:t xml:space="preserve"> </w:t>
      </w:r>
      <w:r w:rsidR="00BF11FB">
        <w:rPr>
          <w:sz w:val="22"/>
          <w:szCs w:val="22"/>
        </w:rPr>
        <w:t xml:space="preserve">the </w:t>
      </w:r>
      <w:r w:rsidRPr="000460F7">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616712E8" w:rsidR="006819D3" w:rsidRPr="005A69A8" w:rsidRDefault="000460F7" w:rsidP="005A69A8">
      <w:pPr>
        <w:pStyle w:val="Title"/>
        <w:keepLines/>
        <w:widowControl/>
        <w:numPr>
          <w:ilvl w:val="0"/>
          <w:numId w:val="2"/>
        </w:numPr>
        <w:jc w:val="left"/>
        <w:rPr>
          <w:sz w:val="22"/>
          <w:szCs w:val="22"/>
        </w:rPr>
      </w:pPr>
      <w:r w:rsidRPr="005A69A8">
        <w:rPr>
          <w:sz w:val="22"/>
          <w:szCs w:val="22"/>
        </w:rPr>
        <w:t>Each stakeholder should complete worksheet</w:t>
      </w:r>
      <w:r w:rsidR="00547D7E" w:rsidRPr="005A69A8">
        <w:rPr>
          <w:sz w:val="22"/>
          <w:szCs w:val="22"/>
        </w:rPr>
        <w:t>s</w:t>
      </w:r>
      <w:r w:rsidRPr="005A69A8">
        <w:rPr>
          <w:sz w:val="22"/>
          <w:szCs w:val="22"/>
        </w:rPr>
        <w:t xml:space="preserve"> for</w:t>
      </w:r>
      <w:r w:rsidR="00DA1F07">
        <w:rPr>
          <w:sz w:val="22"/>
          <w:szCs w:val="22"/>
        </w:rPr>
        <w:t xml:space="preserve"> </w:t>
      </w:r>
      <w:r w:rsidR="00DA1F07">
        <w:rPr>
          <w:sz w:val="22"/>
          <w:szCs w:val="22"/>
          <w:highlight w:val="yellow"/>
        </w:rPr>
        <w:t>at least</w:t>
      </w:r>
      <w:r w:rsidRPr="00DA1F07">
        <w:rPr>
          <w:sz w:val="22"/>
          <w:szCs w:val="22"/>
          <w:highlight w:val="yellow"/>
        </w:rPr>
        <w:t xml:space="preserve"> two performance areas</w:t>
      </w:r>
      <w:r w:rsidRPr="005A69A8">
        <w:rPr>
          <w:sz w:val="22"/>
          <w:szCs w:val="22"/>
        </w:rPr>
        <w:t xml:space="preserve"> of their choosing. Additional (more than two) performance areas can be evaluated in additional worksheets, at your discretion.</w:t>
      </w:r>
    </w:p>
    <w:p w14:paraId="7D6E01E6" w14:textId="77777777" w:rsidR="00231CD8" w:rsidRDefault="00231CD8" w:rsidP="000D6A65">
      <w:pPr>
        <w:pStyle w:val="Title"/>
        <w:keepLines/>
        <w:widowControl/>
        <w:spacing w:before="120"/>
        <w:ind w:left="180"/>
        <w:jc w:val="left"/>
        <w:rPr>
          <w:sz w:val="22"/>
          <w:szCs w:val="22"/>
        </w:rPr>
      </w:pPr>
    </w:p>
    <w:p w14:paraId="3DB96527" w14:textId="560A3C80" w:rsidR="00E70063" w:rsidRPr="00E70063" w:rsidRDefault="003D5C0B" w:rsidP="00E70063">
      <w:pPr>
        <w:pStyle w:val="Title"/>
        <w:keepLines/>
        <w:spacing w:before="120"/>
        <w:ind w:left="180"/>
        <w:jc w:val="left"/>
        <w:rPr>
          <w:i/>
          <w:iCs/>
          <w:sz w:val="22"/>
          <w:szCs w:val="22"/>
        </w:rPr>
      </w:pPr>
      <w:r w:rsidRPr="003D5C0B">
        <w:rPr>
          <w:b/>
          <w:bCs/>
          <w:sz w:val="22"/>
          <w:szCs w:val="22"/>
        </w:rPr>
        <w:t xml:space="preserve">Reference </w:t>
      </w:r>
      <w:r w:rsidR="00A64864" w:rsidRPr="003D5C0B">
        <w:rPr>
          <w:b/>
          <w:bCs/>
          <w:sz w:val="22"/>
          <w:szCs w:val="22"/>
        </w:rPr>
        <w:t>Key:</w:t>
      </w:r>
      <w:r w:rsidR="00A64864">
        <w:rPr>
          <w:sz w:val="22"/>
          <w:szCs w:val="22"/>
        </w:rPr>
        <w:t xml:space="preserve"> Performance Areas from </w:t>
      </w:r>
      <w:r w:rsidRPr="003D5C0B">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14:paraId="4A3B518E" w14:textId="77777777" w:rsidTr="00E70063">
        <w:tc>
          <w:tcPr>
            <w:tcW w:w="6331" w:type="dxa"/>
          </w:tcPr>
          <w:p w14:paraId="59E45CE4" w14:textId="62A3A2BF" w:rsidR="003E2469" w:rsidRPr="00102191" w:rsidRDefault="00BA734C" w:rsidP="000460F7">
            <w:pPr>
              <w:pStyle w:val="Title"/>
              <w:keepLines/>
              <w:widowControl/>
              <w:spacing w:before="120"/>
              <w:ind w:left="0"/>
              <w:jc w:val="left"/>
              <w:rPr>
                <w:sz w:val="20"/>
                <w:szCs w:val="20"/>
              </w:rPr>
            </w:pPr>
            <w:r w:rsidRPr="00102191">
              <w:rPr>
                <w:sz w:val="20"/>
                <w:szCs w:val="20"/>
              </w:rPr>
              <w:t>Reliability and resiliency</w:t>
            </w:r>
          </w:p>
        </w:tc>
        <w:tc>
          <w:tcPr>
            <w:tcW w:w="6629" w:type="dxa"/>
          </w:tcPr>
          <w:p w14:paraId="28CC8C9E" w14:textId="13B71A07" w:rsidR="003E2469" w:rsidRPr="00102191" w:rsidRDefault="00171D14" w:rsidP="000460F7">
            <w:pPr>
              <w:pStyle w:val="Title"/>
              <w:keepLines/>
              <w:widowControl/>
              <w:spacing w:before="120"/>
              <w:ind w:left="0"/>
              <w:jc w:val="left"/>
              <w:rPr>
                <w:sz w:val="20"/>
                <w:szCs w:val="20"/>
              </w:rPr>
            </w:pPr>
            <w:r w:rsidRPr="00102191">
              <w:rPr>
                <w:sz w:val="20"/>
                <w:szCs w:val="20"/>
              </w:rPr>
              <w:t>Affordability for customers</w:t>
            </w:r>
          </w:p>
        </w:tc>
      </w:tr>
      <w:tr w:rsidR="003E2469" w14:paraId="4BCAE3F0" w14:textId="77777777" w:rsidTr="00E70063">
        <w:tc>
          <w:tcPr>
            <w:tcW w:w="6331" w:type="dxa"/>
          </w:tcPr>
          <w:p w14:paraId="60B48B5A" w14:textId="3D3BDC9C" w:rsidR="003E2469" w:rsidRPr="00102191" w:rsidRDefault="00BA734C" w:rsidP="000460F7">
            <w:pPr>
              <w:pStyle w:val="Title"/>
              <w:keepLines/>
              <w:widowControl/>
              <w:spacing w:before="120"/>
              <w:ind w:left="0"/>
              <w:jc w:val="left"/>
              <w:rPr>
                <w:sz w:val="20"/>
                <w:szCs w:val="20"/>
              </w:rPr>
            </w:pPr>
            <w:r w:rsidRPr="00102191">
              <w:rPr>
                <w:sz w:val="20"/>
                <w:szCs w:val="20"/>
              </w:rPr>
              <w:t>Emergency response and safety</w:t>
            </w:r>
          </w:p>
        </w:tc>
        <w:tc>
          <w:tcPr>
            <w:tcW w:w="6629" w:type="dxa"/>
          </w:tcPr>
          <w:p w14:paraId="0952E293" w14:textId="0A828C69" w:rsidR="003E2469" w:rsidRPr="00102191" w:rsidRDefault="00171D14" w:rsidP="000460F7">
            <w:pPr>
              <w:pStyle w:val="Title"/>
              <w:keepLines/>
              <w:widowControl/>
              <w:spacing w:before="120"/>
              <w:ind w:left="0"/>
              <w:jc w:val="left"/>
              <w:rPr>
                <w:sz w:val="20"/>
                <w:szCs w:val="20"/>
              </w:rPr>
            </w:pPr>
            <w:r w:rsidRPr="00102191">
              <w:rPr>
                <w:sz w:val="20"/>
                <w:szCs w:val="20"/>
              </w:rPr>
              <w:t>Cost-efficient utility investments and operations</w:t>
            </w:r>
          </w:p>
        </w:tc>
      </w:tr>
      <w:tr w:rsidR="003E2469" w14:paraId="5FD124C0" w14:textId="77777777" w:rsidTr="00E70063">
        <w:tc>
          <w:tcPr>
            <w:tcW w:w="6331" w:type="dxa"/>
          </w:tcPr>
          <w:p w14:paraId="4197536A" w14:textId="22D002C0" w:rsidR="003E2469" w:rsidRPr="00102191" w:rsidRDefault="009B706B" w:rsidP="000460F7">
            <w:pPr>
              <w:pStyle w:val="Title"/>
              <w:keepLines/>
              <w:widowControl/>
              <w:spacing w:before="120"/>
              <w:ind w:left="0"/>
              <w:jc w:val="left"/>
              <w:rPr>
                <w:sz w:val="20"/>
                <w:szCs w:val="20"/>
              </w:rPr>
            </w:pPr>
            <w:r w:rsidRPr="00102191">
              <w:rPr>
                <w:sz w:val="20"/>
                <w:szCs w:val="20"/>
              </w:rPr>
              <w:t>Peak demand reductions</w:t>
            </w:r>
          </w:p>
        </w:tc>
        <w:tc>
          <w:tcPr>
            <w:tcW w:w="6629" w:type="dxa"/>
          </w:tcPr>
          <w:p w14:paraId="6567F28E" w14:textId="7D919B16" w:rsidR="003E2469" w:rsidRPr="00102191" w:rsidRDefault="00171D14" w:rsidP="000460F7">
            <w:pPr>
              <w:pStyle w:val="Title"/>
              <w:keepLines/>
              <w:widowControl/>
              <w:spacing w:before="120"/>
              <w:ind w:left="0"/>
              <w:jc w:val="left"/>
              <w:rPr>
                <w:sz w:val="20"/>
                <w:szCs w:val="20"/>
              </w:rPr>
            </w:pPr>
            <w:r w:rsidRPr="00102191">
              <w:rPr>
                <w:sz w:val="20"/>
                <w:szCs w:val="20"/>
              </w:rPr>
              <w:t>Maximization of available federal funding</w:t>
            </w:r>
          </w:p>
        </w:tc>
      </w:tr>
      <w:tr w:rsidR="003E2469" w14:paraId="67C88156" w14:textId="77777777" w:rsidTr="00E70063">
        <w:tc>
          <w:tcPr>
            <w:tcW w:w="6331" w:type="dxa"/>
          </w:tcPr>
          <w:p w14:paraId="757BBA8E" w14:textId="3EF42E64" w:rsidR="003E2469" w:rsidRPr="00102191" w:rsidRDefault="009B706B" w:rsidP="000460F7">
            <w:pPr>
              <w:pStyle w:val="Title"/>
              <w:keepLines/>
              <w:widowControl/>
              <w:spacing w:before="120"/>
              <w:ind w:left="0"/>
              <w:jc w:val="left"/>
              <w:rPr>
                <w:sz w:val="20"/>
                <w:szCs w:val="20"/>
              </w:rPr>
            </w:pPr>
            <w:r w:rsidRPr="00102191">
              <w:rPr>
                <w:sz w:val="20"/>
                <w:szCs w:val="20"/>
              </w:rPr>
              <w:t>Cyber and physical security of the grid</w:t>
            </w:r>
          </w:p>
        </w:tc>
        <w:tc>
          <w:tcPr>
            <w:tcW w:w="6629" w:type="dxa"/>
          </w:tcPr>
          <w:p w14:paraId="26B0CD80" w14:textId="56C27143" w:rsidR="003E2469" w:rsidRPr="00102191" w:rsidRDefault="00171D14" w:rsidP="000460F7">
            <w:pPr>
              <w:pStyle w:val="Title"/>
              <w:keepLines/>
              <w:widowControl/>
              <w:spacing w:before="120"/>
              <w:ind w:left="0"/>
              <w:jc w:val="left"/>
              <w:rPr>
                <w:sz w:val="20"/>
                <w:szCs w:val="20"/>
              </w:rPr>
            </w:pPr>
            <w:r w:rsidRPr="00102191">
              <w:rPr>
                <w:sz w:val="20"/>
                <w:szCs w:val="20"/>
              </w:rPr>
              <w:t>Savings maximization from energy efficiency and exceedance of statutorily required savings levels</w:t>
            </w:r>
          </w:p>
        </w:tc>
      </w:tr>
      <w:tr w:rsidR="003E2469" w14:paraId="30D8BA4D" w14:textId="77777777" w:rsidTr="00E70063">
        <w:tc>
          <w:tcPr>
            <w:tcW w:w="6331" w:type="dxa"/>
          </w:tcPr>
          <w:p w14:paraId="1216B848" w14:textId="3D3AEBF6" w:rsidR="003E2469" w:rsidRPr="00102191" w:rsidRDefault="009B706B" w:rsidP="000460F7">
            <w:pPr>
              <w:pStyle w:val="Title"/>
              <w:keepLines/>
              <w:widowControl/>
              <w:spacing w:before="120"/>
              <w:ind w:left="0"/>
              <w:jc w:val="left"/>
              <w:rPr>
                <w:sz w:val="20"/>
                <w:szCs w:val="20"/>
              </w:rPr>
            </w:pPr>
            <w:r w:rsidRPr="00102191">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102191" w:rsidRDefault="00171D14" w:rsidP="000460F7">
            <w:pPr>
              <w:pStyle w:val="Title"/>
              <w:keepLines/>
              <w:widowControl/>
              <w:spacing w:before="120"/>
              <w:ind w:left="0"/>
              <w:jc w:val="left"/>
              <w:rPr>
                <w:sz w:val="20"/>
                <w:szCs w:val="20"/>
              </w:rPr>
            </w:pPr>
            <w:r w:rsidRPr="00102191">
              <w:rPr>
                <w:sz w:val="20"/>
                <w:szCs w:val="20"/>
              </w:rPr>
              <w:t>DER integration and speed of interconnection</w:t>
            </w:r>
          </w:p>
        </w:tc>
      </w:tr>
      <w:tr w:rsidR="009B706B" w14:paraId="580CEDB2" w14:textId="77777777" w:rsidTr="00E70063">
        <w:tc>
          <w:tcPr>
            <w:tcW w:w="6331" w:type="dxa"/>
          </w:tcPr>
          <w:p w14:paraId="002D6301" w14:textId="0BC2C42B" w:rsidR="009B706B" w:rsidRPr="00102191" w:rsidRDefault="00171D14" w:rsidP="000460F7">
            <w:pPr>
              <w:pStyle w:val="Title"/>
              <w:keepLines/>
              <w:widowControl/>
              <w:spacing w:before="120"/>
              <w:ind w:left="0"/>
              <w:jc w:val="left"/>
              <w:rPr>
                <w:sz w:val="20"/>
                <w:szCs w:val="20"/>
              </w:rPr>
            </w:pPr>
            <w:r w:rsidRPr="00102191">
              <w:rPr>
                <w:sz w:val="20"/>
                <w:szCs w:val="20"/>
              </w:rPr>
              <w:t>Customer service</w:t>
            </w:r>
          </w:p>
        </w:tc>
        <w:tc>
          <w:tcPr>
            <w:tcW w:w="6629" w:type="dxa"/>
          </w:tcPr>
          <w:p w14:paraId="683BC54C" w14:textId="55E424D5" w:rsidR="009B706B" w:rsidRPr="00102191" w:rsidRDefault="00171D14" w:rsidP="000460F7">
            <w:pPr>
              <w:pStyle w:val="Title"/>
              <w:keepLines/>
              <w:widowControl/>
              <w:spacing w:before="120"/>
              <w:ind w:left="0"/>
              <w:jc w:val="left"/>
              <w:rPr>
                <w:sz w:val="20"/>
                <w:szCs w:val="20"/>
              </w:rPr>
            </w:pPr>
            <w:r w:rsidRPr="00102191">
              <w:rPr>
                <w:sz w:val="20"/>
                <w:szCs w:val="20"/>
              </w:rPr>
              <w:t>Beneficial electrification</w:t>
            </w:r>
          </w:p>
        </w:tc>
      </w:tr>
      <w:tr w:rsidR="003E2469" w14:paraId="3DB159BE" w14:textId="77777777" w:rsidTr="00E70063">
        <w:tc>
          <w:tcPr>
            <w:tcW w:w="6331" w:type="dxa"/>
          </w:tcPr>
          <w:p w14:paraId="056FE7BB" w14:textId="5BEA5567" w:rsidR="003E2469" w:rsidRPr="00102191" w:rsidRDefault="00171D14" w:rsidP="000460F7">
            <w:pPr>
              <w:pStyle w:val="Title"/>
              <w:keepLines/>
              <w:widowControl/>
              <w:spacing w:before="120"/>
              <w:ind w:left="0"/>
              <w:jc w:val="left"/>
              <w:rPr>
                <w:sz w:val="20"/>
                <w:szCs w:val="20"/>
              </w:rPr>
            </w:pPr>
            <w:r w:rsidRPr="00102191">
              <w:rPr>
                <w:sz w:val="20"/>
                <w:szCs w:val="20"/>
              </w:rPr>
              <w:t>Environmental justice and equity</w:t>
            </w:r>
          </w:p>
        </w:tc>
        <w:tc>
          <w:tcPr>
            <w:tcW w:w="6629" w:type="dxa"/>
          </w:tcPr>
          <w:p w14:paraId="3119968D" w14:textId="6FECC9D7" w:rsidR="003E2469" w:rsidRPr="00102191" w:rsidRDefault="00171D14" w:rsidP="000460F7">
            <w:pPr>
              <w:pStyle w:val="Title"/>
              <w:keepLines/>
              <w:widowControl/>
              <w:spacing w:before="120"/>
              <w:ind w:left="0"/>
              <w:jc w:val="left"/>
              <w:rPr>
                <w:sz w:val="20"/>
                <w:szCs w:val="20"/>
              </w:rPr>
            </w:pPr>
            <w:r w:rsidRPr="00102191">
              <w:rPr>
                <w:sz w:val="20"/>
                <w:szCs w:val="20"/>
              </w:rPr>
              <w:t>Electricity decarbonization</w:t>
            </w:r>
          </w:p>
        </w:tc>
      </w:tr>
    </w:tbl>
    <w:p w14:paraId="78562669" w14:textId="30013831" w:rsidR="00231CD8" w:rsidRPr="000460F7" w:rsidRDefault="00231CD8" w:rsidP="000460F7">
      <w:pPr>
        <w:pStyle w:val="Title"/>
        <w:keepLines/>
        <w:widowControl/>
        <w:spacing w:before="120"/>
        <w:ind w:left="720"/>
        <w:jc w:val="left"/>
        <w:rPr>
          <w:sz w:val="22"/>
          <w:szCs w:val="22"/>
        </w:rPr>
      </w:pPr>
    </w:p>
    <w:p w14:paraId="2B810E4E" w14:textId="51B45664" w:rsidR="000460F7" w:rsidRPr="00E70063" w:rsidRDefault="00E70063" w:rsidP="00E70063">
      <w:pPr>
        <w:pStyle w:val="Title"/>
        <w:keepLines/>
        <w:spacing w:before="120"/>
        <w:ind w:left="180"/>
        <w:jc w:val="left"/>
        <w:rPr>
          <w:i/>
          <w:iCs/>
          <w:sz w:val="22"/>
          <w:szCs w:val="22"/>
        </w:rPr>
      </w:pPr>
      <w:r>
        <w:rPr>
          <w:b/>
          <w:bCs/>
          <w:sz w:val="22"/>
          <w:szCs w:val="22"/>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6819D3" w:rsidRPr="006819D3" w14:paraId="00171B1A" w14:textId="77777777" w:rsidTr="2539CAE0">
        <w:trPr>
          <w:trHeight w:val="563"/>
        </w:trPr>
        <w:tc>
          <w:tcPr>
            <w:tcW w:w="1945" w:type="dxa"/>
            <w:shd w:val="clear" w:color="auto" w:fill="3B7E32"/>
            <w:vAlign w:val="center"/>
          </w:tcPr>
          <w:p w14:paraId="0672B022" w14:textId="60CBF772" w:rsidR="006819D3" w:rsidRPr="006A3122" w:rsidRDefault="006819D3" w:rsidP="006A3122">
            <w:pPr>
              <w:pStyle w:val="TableParagraph"/>
              <w:keepLines/>
              <w:widowControl/>
              <w:spacing w:line="232" w:lineRule="auto"/>
              <w:ind w:left="110" w:right="203"/>
              <w:jc w:val="center"/>
              <w:rPr>
                <w:b/>
                <w:sz w:val="24"/>
                <w:szCs w:val="24"/>
              </w:rPr>
            </w:pPr>
            <w:r w:rsidRPr="00244057">
              <w:rPr>
                <w:b/>
                <w:color w:val="FFFFFF"/>
                <w:spacing w:val="-2"/>
                <w:sz w:val="24"/>
                <w:szCs w:val="24"/>
              </w:rPr>
              <w:t>Outcome</w:t>
            </w:r>
          </w:p>
        </w:tc>
        <w:tc>
          <w:tcPr>
            <w:tcW w:w="2250" w:type="dxa"/>
            <w:gridSpan w:val="2"/>
            <w:shd w:val="clear" w:color="auto" w:fill="auto"/>
          </w:tcPr>
          <w:p w14:paraId="78DBB2FC" w14:textId="1113E4C0" w:rsidR="006819D3" w:rsidRPr="001D7C93" w:rsidRDefault="005947D3" w:rsidP="00754FD1">
            <w:pPr>
              <w:pStyle w:val="TableParagraph"/>
              <w:keepLines/>
              <w:widowControl/>
              <w:spacing w:line="223" w:lineRule="exact"/>
              <w:ind w:left="110"/>
              <w:rPr>
                <w:bCs/>
                <w:i/>
                <w:iCs/>
                <w:sz w:val="18"/>
                <w:szCs w:val="20"/>
              </w:rPr>
            </w:pPr>
            <w:r w:rsidRPr="001D7C93">
              <w:rPr>
                <w:bCs/>
                <w:sz w:val="18"/>
                <w:szCs w:val="20"/>
              </w:rPr>
              <w:t xml:space="preserve">What regulatory </w:t>
            </w:r>
            <w:r w:rsidR="001D7C93" w:rsidRPr="001D7C93">
              <w:rPr>
                <w:bCs/>
                <w:i/>
                <w:iCs/>
                <w:sz w:val="18"/>
                <w:szCs w:val="20"/>
              </w:rPr>
              <w:t>outcome</w:t>
            </w:r>
            <w:r w:rsidR="0079634D">
              <w:rPr>
                <w:bCs/>
                <w:i/>
                <w:iCs/>
                <w:sz w:val="18"/>
                <w:szCs w:val="20"/>
              </w:rPr>
              <w:t xml:space="preserve"> </w:t>
            </w:r>
            <w:r w:rsidR="0079634D">
              <w:rPr>
                <w:bCs/>
                <w:sz w:val="18"/>
                <w:szCs w:val="20"/>
              </w:rPr>
              <w:t xml:space="preserve">or </w:t>
            </w:r>
            <w:r w:rsidR="0079634D">
              <w:rPr>
                <w:bCs/>
                <w:i/>
                <w:iCs/>
                <w:sz w:val="18"/>
                <w:szCs w:val="20"/>
              </w:rPr>
              <w:t>performance area</w:t>
            </w:r>
            <w:r w:rsidR="001D7C93" w:rsidRPr="001D7C93">
              <w:rPr>
                <w:bCs/>
                <w:i/>
                <w:iCs/>
                <w:sz w:val="18"/>
                <w:szCs w:val="20"/>
              </w:rPr>
              <w:t xml:space="preserve"> </w:t>
            </w:r>
            <w:r w:rsidR="001D7C93" w:rsidRPr="001D7C93">
              <w:rPr>
                <w:bCs/>
                <w:sz w:val="18"/>
                <w:szCs w:val="20"/>
              </w:rPr>
              <w:t>does this assessment consider?</w:t>
            </w:r>
          </w:p>
        </w:tc>
        <w:tc>
          <w:tcPr>
            <w:tcW w:w="8768" w:type="dxa"/>
            <w:gridSpan w:val="3"/>
            <w:shd w:val="clear" w:color="auto" w:fill="auto"/>
          </w:tcPr>
          <w:p w14:paraId="4CCD6E8E" w14:textId="21C50DAA" w:rsidR="006819D3" w:rsidRPr="006819D3" w:rsidRDefault="00202A48" w:rsidP="00754FD1">
            <w:pPr>
              <w:pStyle w:val="TableParagraph"/>
              <w:keepLines/>
              <w:widowControl/>
              <w:spacing w:line="223" w:lineRule="exact"/>
              <w:ind w:left="110"/>
              <w:rPr>
                <w:b/>
                <w:sz w:val="18"/>
                <w:szCs w:val="18"/>
              </w:rPr>
            </w:pPr>
            <w:r>
              <w:rPr>
                <w:b/>
                <w:sz w:val="18"/>
                <w:szCs w:val="18"/>
              </w:rPr>
              <w:t>Peak Demand Reductions</w:t>
            </w:r>
          </w:p>
        </w:tc>
      </w:tr>
      <w:tr w:rsidR="00301124" w:rsidRPr="00AB56BB" w14:paraId="24ADA6B9" w14:textId="77777777" w:rsidTr="2539CAE0">
        <w:tc>
          <w:tcPr>
            <w:tcW w:w="12963" w:type="dxa"/>
            <w:gridSpan w:val="6"/>
            <w:shd w:val="clear" w:color="auto" w:fill="3B7E32"/>
          </w:tcPr>
          <w:p w14:paraId="3958F4A1" w14:textId="570D5F43" w:rsidR="00301124" w:rsidRPr="00AB56BB" w:rsidRDefault="00D674FC" w:rsidP="00754FD1">
            <w:pPr>
              <w:pStyle w:val="TableParagraph"/>
              <w:keepLines/>
              <w:widowControl/>
              <w:spacing w:line="223" w:lineRule="exact"/>
              <w:ind w:left="110"/>
              <w:rPr>
                <w:b/>
                <w:sz w:val="18"/>
                <w:szCs w:val="20"/>
              </w:rPr>
            </w:pPr>
            <w:r w:rsidRPr="00AB56BB">
              <w:rPr>
                <w:b/>
                <w:color w:val="FFFFFF"/>
                <w:sz w:val="18"/>
                <w:szCs w:val="20"/>
              </w:rPr>
              <w:t>Do</w:t>
            </w:r>
            <w:r w:rsidRPr="00AB56BB">
              <w:rPr>
                <w:b/>
                <w:color w:val="FFFFFF"/>
                <w:spacing w:val="-9"/>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z w:val="18"/>
                <w:szCs w:val="20"/>
              </w:rPr>
              <w:t>existing</w:t>
            </w:r>
            <w:r w:rsidRPr="00AB56BB">
              <w:rPr>
                <w:b/>
                <w:color w:val="FFFFFF"/>
                <w:spacing w:val="-8"/>
                <w:sz w:val="18"/>
                <w:szCs w:val="20"/>
              </w:rPr>
              <w:t xml:space="preserve"> </w:t>
            </w:r>
            <w:r w:rsidRPr="00AB56BB">
              <w:rPr>
                <w:b/>
                <w:color w:val="FFFFFF"/>
                <w:sz w:val="18"/>
                <w:szCs w:val="20"/>
              </w:rPr>
              <w:t>regulatory</w:t>
            </w:r>
            <w:r w:rsidRPr="00AB56BB">
              <w:rPr>
                <w:b/>
                <w:color w:val="FFFFFF"/>
                <w:spacing w:val="-7"/>
                <w:sz w:val="18"/>
                <w:szCs w:val="20"/>
              </w:rPr>
              <w:t xml:space="preserve"> </w:t>
            </w:r>
            <w:r w:rsidRPr="00AB56BB">
              <w:rPr>
                <w:b/>
                <w:color w:val="FFFFFF"/>
                <w:sz w:val="18"/>
                <w:szCs w:val="20"/>
              </w:rPr>
              <w:t>mechanisms</w:t>
            </w:r>
            <w:r w:rsidRPr="00AB56BB">
              <w:rPr>
                <w:b/>
                <w:color w:val="FFFFFF"/>
                <w:spacing w:val="-8"/>
                <w:sz w:val="18"/>
                <w:szCs w:val="20"/>
              </w:rPr>
              <w:t xml:space="preserve"> </w:t>
            </w:r>
            <w:r w:rsidRPr="00AB56BB">
              <w:rPr>
                <w:b/>
                <w:color w:val="FFFFFF"/>
                <w:sz w:val="18"/>
                <w:szCs w:val="20"/>
              </w:rPr>
              <w:t>and</w:t>
            </w:r>
            <w:r w:rsidRPr="00AB56BB">
              <w:rPr>
                <w:b/>
                <w:color w:val="FFFFFF"/>
                <w:spacing w:val="-3"/>
                <w:sz w:val="18"/>
                <w:szCs w:val="20"/>
              </w:rPr>
              <w:t xml:space="preserve"> </w:t>
            </w:r>
            <w:r w:rsidR="00E97484">
              <w:rPr>
                <w:b/>
                <w:color w:val="FFFFFF"/>
                <w:sz w:val="18"/>
                <w:szCs w:val="20"/>
              </w:rPr>
              <w:t>programs</w:t>
            </w:r>
            <w:r w:rsidRPr="00AB56BB">
              <w:rPr>
                <w:b/>
                <w:color w:val="FFFFFF"/>
                <w:spacing w:val="-1"/>
                <w:sz w:val="18"/>
                <w:szCs w:val="20"/>
              </w:rPr>
              <w:t xml:space="preserve"> </w:t>
            </w:r>
            <w:r w:rsidRPr="00AB56BB">
              <w:rPr>
                <w:b/>
                <w:color w:val="FFFFFF"/>
                <w:sz w:val="18"/>
                <w:szCs w:val="20"/>
              </w:rPr>
              <w:t>sufficiently</w:t>
            </w:r>
            <w:r w:rsidRPr="00AB56BB">
              <w:rPr>
                <w:b/>
                <w:color w:val="FFFFFF"/>
                <w:spacing w:val="-3"/>
                <w:sz w:val="18"/>
                <w:szCs w:val="20"/>
              </w:rPr>
              <w:t xml:space="preserve"> </w:t>
            </w:r>
            <w:r w:rsidRPr="00AB56BB">
              <w:rPr>
                <w:b/>
                <w:color w:val="FFFFFF"/>
                <w:sz w:val="18"/>
                <w:szCs w:val="20"/>
              </w:rPr>
              <w:t>support</w:t>
            </w:r>
            <w:r w:rsidRPr="00AB56BB">
              <w:rPr>
                <w:b/>
                <w:color w:val="FFFFFF"/>
                <w:spacing w:val="-4"/>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pacing w:val="-2"/>
                <w:sz w:val="18"/>
                <w:szCs w:val="20"/>
              </w:rPr>
              <w:t>outcome?</w:t>
            </w:r>
          </w:p>
        </w:tc>
      </w:tr>
      <w:tr w:rsidR="00301124" w:rsidRPr="00AB56BB" w14:paraId="11E209F4" w14:textId="77777777" w:rsidTr="2539CAE0">
        <w:tc>
          <w:tcPr>
            <w:tcW w:w="1945" w:type="dxa"/>
          </w:tcPr>
          <w:p w14:paraId="34E1BFB4" w14:textId="77777777" w:rsidR="00301124" w:rsidRPr="00AB56BB" w:rsidRDefault="00D674FC" w:rsidP="00754FD1">
            <w:pPr>
              <w:pStyle w:val="TableParagraph"/>
              <w:keepLines/>
              <w:widowControl/>
              <w:spacing w:line="222" w:lineRule="exact"/>
              <w:ind w:left="16" w:right="2"/>
              <w:jc w:val="center"/>
              <w:rPr>
                <w:b/>
                <w:sz w:val="18"/>
                <w:szCs w:val="20"/>
              </w:rPr>
            </w:pPr>
            <w:r w:rsidRPr="00AB56BB">
              <w:rPr>
                <w:b/>
                <w:spacing w:val="-5"/>
                <w:sz w:val="18"/>
                <w:szCs w:val="20"/>
              </w:rPr>
              <w:t>Key</w:t>
            </w:r>
          </w:p>
        </w:tc>
        <w:tc>
          <w:tcPr>
            <w:tcW w:w="11018" w:type="dxa"/>
            <w:gridSpan w:val="5"/>
          </w:tcPr>
          <w:p w14:paraId="53843495" w14:textId="77777777" w:rsidR="00301124" w:rsidRPr="00AB56BB" w:rsidRDefault="00301124" w:rsidP="00754FD1">
            <w:pPr>
              <w:pStyle w:val="TableParagraph"/>
              <w:keepLines/>
              <w:widowControl/>
              <w:rPr>
                <w:rFonts w:ascii="Times New Roman"/>
                <w:sz w:val="18"/>
                <w:szCs w:val="20"/>
              </w:rPr>
            </w:pPr>
          </w:p>
        </w:tc>
      </w:tr>
      <w:tr w:rsidR="00301124" w:rsidRPr="00AB56BB" w14:paraId="64E5BDC2" w14:textId="77777777" w:rsidTr="2539CAE0">
        <w:tc>
          <w:tcPr>
            <w:tcW w:w="1945" w:type="dxa"/>
          </w:tcPr>
          <w:p w14:paraId="27A4969B" w14:textId="77777777" w:rsidR="00301124" w:rsidRPr="00AB56BB" w:rsidRDefault="00D674FC" w:rsidP="00754FD1">
            <w:pPr>
              <w:pStyle w:val="TableParagraph"/>
              <w:keepLines/>
              <w:widowControl/>
              <w:spacing w:line="222" w:lineRule="exact"/>
              <w:ind w:left="16"/>
              <w:jc w:val="center"/>
              <w:rPr>
                <w:b/>
                <w:sz w:val="18"/>
                <w:szCs w:val="20"/>
              </w:rPr>
            </w:pPr>
            <w:r w:rsidRPr="00AB56BB">
              <w:rPr>
                <w:b/>
                <w:spacing w:val="-10"/>
                <w:sz w:val="18"/>
                <w:szCs w:val="20"/>
              </w:rPr>
              <w:t>+</w:t>
            </w:r>
          </w:p>
        </w:tc>
        <w:tc>
          <w:tcPr>
            <w:tcW w:w="2217" w:type="dxa"/>
          </w:tcPr>
          <w:p w14:paraId="70327E4A" w14:textId="77777777" w:rsidR="00301124" w:rsidRPr="00AB56BB" w:rsidRDefault="00D674FC" w:rsidP="00754FD1">
            <w:pPr>
              <w:pStyle w:val="TableParagraph"/>
              <w:keepLines/>
              <w:widowControl/>
              <w:spacing w:line="222" w:lineRule="exact"/>
              <w:ind w:left="3" w:right="3"/>
              <w:jc w:val="center"/>
              <w:rPr>
                <w:b/>
                <w:sz w:val="18"/>
                <w:szCs w:val="20"/>
              </w:rPr>
            </w:pPr>
            <w:r w:rsidRPr="00AB56BB">
              <w:rPr>
                <w:b/>
                <w:spacing w:val="-5"/>
                <w:sz w:val="18"/>
                <w:szCs w:val="20"/>
              </w:rPr>
              <w:t>Yes</w:t>
            </w:r>
          </w:p>
        </w:tc>
        <w:tc>
          <w:tcPr>
            <w:tcW w:w="8801" w:type="dxa"/>
            <w:gridSpan w:val="4"/>
          </w:tcPr>
          <w:p w14:paraId="5C23CFBF" w14:textId="77777777"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9"/>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incents</w:t>
            </w:r>
            <w:r w:rsidRPr="00AB56BB">
              <w:rPr>
                <w:b/>
                <w:spacing w:val="-2"/>
                <w:sz w:val="18"/>
                <w:szCs w:val="20"/>
              </w:rPr>
              <w:t xml:space="preserve"> </w:t>
            </w:r>
            <w:r w:rsidRPr="00AB56BB">
              <w:rPr>
                <w:b/>
                <w:sz w:val="18"/>
                <w:szCs w:val="20"/>
              </w:rPr>
              <w:t>achievement</w:t>
            </w:r>
            <w:r w:rsidRPr="00AB56BB">
              <w:rPr>
                <w:b/>
                <w:spacing w:val="-5"/>
                <w:sz w:val="18"/>
                <w:szCs w:val="20"/>
              </w:rPr>
              <w:t xml:space="preserve"> </w:t>
            </w:r>
            <w:r w:rsidRPr="00AB56BB">
              <w:rPr>
                <w:sz w:val="18"/>
                <w:szCs w:val="20"/>
              </w:rPr>
              <w:t>of</w:t>
            </w:r>
            <w:r w:rsidRPr="00AB56BB">
              <w:rPr>
                <w:spacing w:val="-2"/>
                <w:sz w:val="18"/>
                <w:szCs w:val="20"/>
              </w:rPr>
              <w:t xml:space="preserve"> </w:t>
            </w:r>
            <w:r w:rsidRPr="00AB56BB">
              <w:rPr>
                <w:sz w:val="18"/>
                <w:szCs w:val="20"/>
              </w:rPr>
              <w:t>this</w:t>
            </w:r>
            <w:r w:rsidRPr="00AB56BB">
              <w:rPr>
                <w:spacing w:val="1"/>
                <w:sz w:val="18"/>
                <w:szCs w:val="20"/>
              </w:rPr>
              <w:t xml:space="preserve"> </w:t>
            </w:r>
            <w:r w:rsidRPr="00AB56BB">
              <w:rPr>
                <w:spacing w:val="-2"/>
                <w:sz w:val="18"/>
                <w:szCs w:val="20"/>
              </w:rPr>
              <w:t>outcome.</w:t>
            </w:r>
          </w:p>
        </w:tc>
      </w:tr>
      <w:tr w:rsidR="00301124" w:rsidRPr="00AB56BB" w14:paraId="0B661C66" w14:textId="77777777" w:rsidTr="2539CAE0">
        <w:tc>
          <w:tcPr>
            <w:tcW w:w="1945" w:type="dxa"/>
          </w:tcPr>
          <w:p w14:paraId="5CADA07A" w14:textId="77777777" w:rsidR="00301124" w:rsidRPr="00AB56BB" w:rsidRDefault="00D674FC" w:rsidP="00754FD1">
            <w:pPr>
              <w:pStyle w:val="TableParagraph"/>
              <w:keepLines/>
              <w:widowControl/>
              <w:spacing w:line="222" w:lineRule="exact"/>
              <w:ind w:left="16" w:right="5"/>
              <w:jc w:val="center"/>
              <w:rPr>
                <w:b/>
                <w:sz w:val="18"/>
                <w:szCs w:val="20"/>
              </w:rPr>
            </w:pPr>
            <w:r w:rsidRPr="00AB56BB">
              <w:rPr>
                <w:b/>
                <w:spacing w:val="-10"/>
                <w:sz w:val="18"/>
                <w:szCs w:val="20"/>
              </w:rPr>
              <w:t>0</w:t>
            </w:r>
          </w:p>
        </w:tc>
        <w:tc>
          <w:tcPr>
            <w:tcW w:w="2217" w:type="dxa"/>
          </w:tcPr>
          <w:p w14:paraId="0BF262D5" w14:textId="77777777" w:rsidR="00301124" w:rsidRPr="00AB56BB" w:rsidRDefault="00D674FC" w:rsidP="00754FD1">
            <w:pPr>
              <w:pStyle w:val="TableParagraph"/>
              <w:keepLines/>
              <w:widowControl/>
              <w:spacing w:line="222" w:lineRule="exact"/>
              <w:ind w:left="1" w:right="4"/>
              <w:jc w:val="center"/>
              <w:rPr>
                <w:b/>
                <w:sz w:val="18"/>
                <w:szCs w:val="20"/>
              </w:rPr>
            </w:pPr>
            <w:r w:rsidRPr="00AB56BB">
              <w:rPr>
                <w:b/>
                <w:sz w:val="18"/>
                <w:szCs w:val="20"/>
              </w:rPr>
              <w:t>No</w:t>
            </w:r>
            <w:r w:rsidRPr="00AB56BB">
              <w:rPr>
                <w:b/>
                <w:spacing w:val="-5"/>
                <w:sz w:val="18"/>
                <w:szCs w:val="20"/>
              </w:rPr>
              <w:t xml:space="preserve"> </w:t>
            </w:r>
            <w:r w:rsidRPr="00AB56BB">
              <w:rPr>
                <w:b/>
                <w:spacing w:val="-2"/>
                <w:sz w:val="18"/>
                <w:szCs w:val="20"/>
              </w:rPr>
              <w:t>Impact</w:t>
            </w:r>
          </w:p>
        </w:tc>
        <w:tc>
          <w:tcPr>
            <w:tcW w:w="8801" w:type="dxa"/>
            <w:gridSpan w:val="4"/>
          </w:tcPr>
          <w:p w14:paraId="6CC6382E" w14:textId="5D917108"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5"/>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does</w:t>
            </w:r>
            <w:r w:rsidRPr="00AB56BB">
              <w:rPr>
                <w:b/>
                <w:spacing w:val="-5"/>
                <w:sz w:val="18"/>
                <w:szCs w:val="20"/>
              </w:rPr>
              <w:t xml:space="preserve"> </w:t>
            </w:r>
            <w:r w:rsidRPr="00AB56BB">
              <w:rPr>
                <w:b/>
                <w:sz w:val="18"/>
                <w:szCs w:val="20"/>
              </w:rPr>
              <w:t>not</w:t>
            </w:r>
            <w:r w:rsidRPr="00AB56BB">
              <w:rPr>
                <w:b/>
                <w:spacing w:val="-6"/>
                <w:sz w:val="18"/>
                <w:szCs w:val="20"/>
              </w:rPr>
              <w:t xml:space="preserve"> </w:t>
            </w:r>
            <w:r w:rsidRPr="00AB56BB">
              <w:rPr>
                <w:b/>
                <w:sz w:val="18"/>
                <w:szCs w:val="20"/>
              </w:rPr>
              <w:t>seem</w:t>
            </w:r>
            <w:r w:rsidRPr="00AB56BB">
              <w:rPr>
                <w:b/>
                <w:spacing w:val="-1"/>
                <w:sz w:val="18"/>
                <w:szCs w:val="20"/>
              </w:rPr>
              <w:t xml:space="preserve"> </w:t>
            </w:r>
            <w:r w:rsidRPr="00AB56BB">
              <w:rPr>
                <w:b/>
                <w:sz w:val="18"/>
                <w:szCs w:val="20"/>
              </w:rPr>
              <w:t>to</w:t>
            </w:r>
            <w:r w:rsidRPr="00AB56BB">
              <w:rPr>
                <w:b/>
                <w:spacing w:val="-2"/>
                <w:sz w:val="18"/>
                <w:szCs w:val="20"/>
              </w:rPr>
              <w:t xml:space="preserve"> </w:t>
            </w:r>
            <w:r w:rsidRPr="00AB56BB">
              <w:rPr>
                <w:b/>
                <w:sz w:val="18"/>
                <w:szCs w:val="20"/>
              </w:rPr>
              <w:t xml:space="preserve">impact </w:t>
            </w:r>
            <w:r w:rsidR="008D1F0D">
              <w:rPr>
                <w:b/>
                <w:sz w:val="18"/>
                <w:szCs w:val="20"/>
              </w:rPr>
              <w:t xml:space="preserve">the </w:t>
            </w:r>
            <w:r w:rsidRPr="00AB56BB">
              <w:rPr>
                <w:b/>
                <w:sz w:val="18"/>
                <w:szCs w:val="20"/>
              </w:rPr>
              <w:t>achievement</w:t>
            </w:r>
            <w:r w:rsidRPr="00AB56BB">
              <w:rPr>
                <w:b/>
                <w:spacing w:val="-3"/>
                <w:sz w:val="18"/>
                <w:szCs w:val="20"/>
              </w:rPr>
              <w:t xml:space="preserve"> </w:t>
            </w:r>
            <w:r w:rsidRPr="00AB56BB">
              <w:rPr>
                <w:sz w:val="18"/>
                <w:szCs w:val="20"/>
              </w:rPr>
              <w:t>of</w:t>
            </w:r>
            <w:r w:rsidRPr="00AB56BB">
              <w:rPr>
                <w:spacing w:val="-5"/>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5A2D61CB" w14:textId="77777777" w:rsidTr="2539CAE0">
        <w:tc>
          <w:tcPr>
            <w:tcW w:w="1945" w:type="dxa"/>
          </w:tcPr>
          <w:p w14:paraId="675C26E1" w14:textId="77777777" w:rsidR="00301124" w:rsidRPr="00AB56BB" w:rsidRDefault="00D674FC" w:rsidP="00754FD1">
            <w:pPr>
              <w:pStyle w:val="TableParagraph"/>
              <w:keepLines/>
              <w:widowControl/>
              <w:spacing w:line="223" w:lineRule="exact"/>
              <w:ind w:left="16"/>
              <w:jc w:val="center"/>
              <w:rPr>
                <w:b/>
                <w:sz w:val="18"/>
                <w:szCs w:val="20"/>
              </w:rPr>
            </w:pPr>
            <w:r w:rsidRPr="00AB56BB">
              <w:rPr>
                <w:b/>
                <w:spacing w:val="-10"/>
                <w:sz w:val="18"/>
                <w:szCs w:val="20"/>
              </w:rPr>
              <w:t>-</w:t>
            </w:r>
          </w:p>
        </w:tc>
        <w:tc>
          <w:tcPr>
            <w:tcW w:w="2217" w:type="dxa"/>
          </w:tcPr>
          <w:p w14:paraId="554C7DEC" w14:textId="77777777" w:rsidR="00301124" w:rsidRPr="00AB56BB" w:rsidRDefault="00D674FC" w:rsidP="00754FD1">
            <w:pPr>
              <w:pStyle w:val="TableParagraph"/>
              <w:keepLines/>
              <w:widowControl/>
              <w:spacing w:line="223" w:lineRule="exact"/>
              <w:ind w:left="4" w:right="3"/>
              <w:jc w:val="center"/>
              <w:rPr>
                <w:b/>
                <w:sz w:val="18"/>
                <w:szCs w:val="20"/>
              </w:rPr>
            </w:pPr>
            <w:r w:rsidRPr="00AB56BB">
              <w:rPr>
                <w:b/>
                <w:spacing w:val="-5"/>
                <w:sz w:val="18"/>
                <w:szCs w:val="20"/>
              </w:rPr>
              <w:t>No</w:t>
            </w:r>
          </w:p>
        </w:tc>
        <w:tc>
          <w:tcPr>
            <w:tcW w:w="8801" w:type="dxa"/>
            <w:gridSpan w:val="4"/>
          </w:tcPr>
          <w:p w14:paraId="7287AE0F" w14:textId="6E8B29A6" w:rsidR="00301124" w:rsidRPr="00AB56BB" w:rsidRDefault="00D674FC" w:rsidP="00754FD1">
            <w:pPr>
              <w:pStyle w:val="TableParagraph"/>
              <w:keepLines/>
              <w:widowControl/>
              <w:spacing w:line="223"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 xml:space="preserve">program </w:t>
            </w:r>
            <w:r w:rsidRPr="00AB56BB">
              <w:rPr>
                <w:b/>
                <w:sz w:val="18"/>
                <w:szCs w:val="20"/>
              </w:rPr>
              <w:t>disincentivizes</w:t>
            </w:r>
            <w:r w:rsidRPr="00AB56BB">
              <w:rPr>
                <w:b/>
                <w:spacing w:val="-6"/>
                <w:sz w:val="18"/>
                <w:szCs w:val="20"/>
              </w:rPr>
              <w:t xml:space="preserve"> </w:t>
            </w:r>
            <w:r w:rsidR="008D1F0D">
              <w:rPr>
                <w:b/>
                <w:spacing w:val="-6"/>
                <w:sz w:val="18"/>
                <w:szCs w:val="20"/>
              </w:rPr>
              <w:t xml:space="preserve">the </w:t>
            </w:r>
            <w:r w:rsidRPr="00AB56BB">
              <w:rPr>
                <w:b/>
                <w:sz w:val="18"/>
                <w:szCs w:val="20"/>
              </w:rPr>
              <w:t>achievement</w:t>
            </w:r>
            <w:r w:rsidRPr="00AB56BB">
              <w:rPr>
                <w:b/>
                <w:spacing w:val="-4"/>
                <w:sz w:val="18"/>
                <w:szCs w:val="20"/>
              </w:rPr>
              <w:t xml:space="preserve"> </w:t>
            </w:r>
            <w:r w:rsidRPr="00AB56BB">
              <w:rPr>
                <w:sz w:val="18"/>
                <w:szCs w:val="20"/>
              </w:rPr>
              <w:t>of</w:t>
            </w:r>
            <w:r w:rsidRPr="00AB56BB">
              <w:rPr>
                <w:spacing w:val="-6"/>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6FAE87BA" w14:textId="77777777" w:rsidTr="2539CAE0">
        <w:tc>
          <w:tcPr>
            <w:tcW w:w="1945" w:type="dxa"/>
            <w:vMerge w:val="restart"/>
            <w:shd w:val="clear" w:color="auto" w:fill="3B7E32"/>
            <w:vAlign w:val="center"/>
          </w:tcPr>
          <w:p w14:paraId="171D5AB7" w14:textId="77777777" w:rsidR="00301124" w:rsidRPr="00AB56BB" w:rsidRDefault="00D674FC" w:rsidP="00754FD1">
            <w:pPr>
              <w:pStyle w:val="TableParagraph"/>
              <w:keepLines/>
              <w:widowControl/>
              <w:spacing w:line="232" w:lineRule="auto"/>
              <w:ind w:left="110" w:right="203"/>
              <w:rPr>
                <w:b/>
                <w:sz w:val="18"/>
                <w:szCs w:val="20"/>
              </w:rPr>
            </w:pPr>
            <w:r w:rsidRPr="00AB56BB">
              <w:rPr>
                <w:b/>
                <w:color w:val="FFFFFF"/>
                <w:spacing w:val="-2"/>
                <w:sz w:val="18"/>
                <w:szCs w:val="20"/>
              </w:rPr>
              <w:t xml:space="preserve">Existing Regulatory </w:t>
            </w:r>
            <w:r w:rsidRPr="00AB56BB">
              <w:rPr>
                <w:b/>
                <w:color w:val="FFFFFF"/>
                <w:sz w:val="18"/>
                <w:szCs w:val="20"/>
              </w:rPr>
              <w:t>Mechanisms</w:t>
            </w:r>
            <w:r w:rsidRPr="00AB56BB">
              <w:rPr>
                <w:b/>
                <w:color w:val="FFFFFF"/>
                <w:spacing w:val="-14"/>
                <w:sz w:val="18"/>
                <w:szCs w:val="20"/>
              </w:rPr>
              <w:t xml:space="preserve"> </w:t>
            </w:r>
            <w:r w:rsidRPr="00AB56BB">
              <w:rPr>
                <w:b/>
                <w:color w:val="FFFFFF"/>
                <w:sz w:val="18"/>
                <w:szCs w:val="20"/>
              </w:rPr>
              <w:t xml:space="preserve">and </w:t>
            </w:r>
            <w:r w:rsidRPr="00AB56BB">
              <w:rPr>
                <w:b/>
                <w:color w:val="FFFFFF"/>
                <w:spacing w:val="-2"/>
                <w:sz w:val="18"/>
                <w:szCs w:val="20"/>
              </w:rPr>
              <w:t>Programs</w:t>
            </w:r>
          </w:p>
        </w:tc>
        <w:tc>
          <w:tcPr>
            <w:tcW w:w="2217" w:type="dxa"/>
            <w:vMerge w:val="restart"/>
            <w:shd w:val="clear" w:color="auto" w:fill="3B7E32"/>
            <w:vAlign w:val="center"/>
          </w:tcPr>
          <w:p w14:paraId="35C0F124" w14:textId="77777777" w:rsidR="00301124" w:rsidRPr="00AB56BB" w:rsidRDefault="00D674FC" w:rsidP="00754FD1">
            <w:pPr>
              <w:pStyle w:val="TableParagraph"/>
              <w:keepLines/>
              <w:widowControl/>
              <w:ind w:left="555"/>
              <w:rPr>
                <w:b/>
                <w:sz w:val="18"/>
                <w:szCs w:val="20"/>
              </w:rPr>
            </w:pPr>
            <w:r w:rsidRPr="00AB56BB">
              <w:rPr>
                <w:b/>
                <w:color w:val="FFFFFF"/>
                <w:spacing w:val="-2"/>
                <w:sz w:val="18"/>
                <w:szCs w:val="20"/>
              </w:rPr>
              <w:t>Description</w:t>
            </w:r>
          </w:p>
        </w:tc>
        <w:tc>
          <w:tcPr>
            <w:tcW w:w="4267" w:type="dxa"/>
            <w:gridSpan w:val="3"/>
            <w:shd w:val="clear" w:color="auto" w:fill="3B7E32"/>
          </w:tcPr>
          <w:p w14:paraId="45EFD270" w14:textId="77777777" w:rsidR="00301124" w:rsidRPr="00AB56BB" w:rsidRDefault="00D674FC" w:rsidP="00754FD1">
            <w:pPr>
              <w:pStyle w:val="TableParagraph"/>
              <w:keepLines/>
              <w:widowControl/>
              <w:spacing w:before="131" w:line="235" w:lineRule="auto"/>
              <w:ind w:right="527"/>
              <w:jc w:val="center"/>
              <w:rPr>
                <w:b/>
                <w:sz w:val="18"/>
                <w:szCs w:val="20"/>
              </w:rPr>
            </w:pPr>
            <w:r w:rsidRPr="00AB56BB">
              <w:rPr>
                <w:b/>
                <w:color w:val="FFFFFF"/>
                <w:sz w:val="18"/>
                <w:szCs w:val="20"/>
              </w:rPr>
              <w:t>Mechanism</w:t>
            </w:r>
            <w:r w:rsidRPr="00AB56BB">
              <w:rPr>
                <w:b/>
                <w:color w:val="FFFFFF"/>
                <w:spacing w:val="-10"/>
                <w:sz w:val="18"/>
                <w:szCs w:val="20"/>
              </w:rPr>
              <w:t xml:space="preserve"> </w:t>
            </w:r>
            <w:r w:rsidRPr="00AB56BB">
              <w:rPr>
                <w:b/>
                <w:color w:val="FFFFFF"/>
                <w:sz w:val="18"/>
                <w:szCs w:val="20"/>
              </w:rPr>
              <w:t>or</w:t>
            </w:r>
            <w:r w:rsidRPr="00AB56BB">
              <w:rPr>
                <w:b/>
                <w:color w:val="FFFFFF"/>
                <w:spacing w:val="-10"/>
                <w:sz w:val="18"/>
                <w:szCs w:val="20"/>
              </w:rPr>
              <w:t xml:space="preserve"> </w:t>
            </w:r>
            <w:r w:rsidRPr="00AB56BB">
              <w:rPr>
                <w:b/>
                <w:color w:val="FFFFFF"/>
                <w:sz w:val="18"/>
                <w:szCs w:val="20"/>
              </w:rPr>
              <w:t>Program’s</w:t>
            </w:r>
            <w:r w:rsidRPr="00AB56BB">
              <w:rPr>
                <w:b/>
                <w:color w:val="FFFFFF"/>
                <w:spacing w:val="-14"/>
                <w:sz w:val="18"/>
                <w:szCs w:val="20"/>
              </w:rPr>
              <w:t xml:space="preserve"> </w:t>
            </w:r>
            <w:r w:rsidRPr="00AB56BB">
              <w:rPr>
                <w:b/>
                <w:color w:val="FFFFFF"/>
                <w:sz w:val="18"/>
                <w:szCs w:val="20"/>
              </w:rPr>
              <w:t>Effect</w:t>
            </w:r>
            <w:r w:rsidRPr="00AB56BB">
              <w:rPr>
                <w:b/>
                <w:color w:val="FFFFFF"/>
                <w:spacing w:val="-10"/>
                <w:sz w:val="18"/>
                <w:szCs w:val="20"/>
              </w:rPr>
              <w:t xml:space="preserve"> </w:t>
            </w:r>
            <w:r w:rsidRPr="00AB56BB">
              <w:rPr>
                <w:b/>
                <w:color w:val="FFFFFF"/>
                <w:sz w:val="18"/>
                <w:szCs w:val="20"/>
              </w:rPr>
              <w:t xml:space="preserve">on </w:t>
            </w:r>
            <w:r w:rsidRPr="00AB56BB">
              <w:rPr>
                <w:b/>
                <w:color w:val="FFFFFF"/>
                <w:spacing w:val="-2"/>
                <w:sz w:val="18"/>
                <w:szCs w:val="20"/>
              </w:rPr>
              <w:t>Outcome</w:t>
            </w:r>
          </w:p>
        </w:tc>
        <w:tc>
          <w:tcPr>
            <w:tcW w:w="4534" w:type="dxa"/>
            <w:vMerge w:val="restart"/>
            <w:shd w:val="clear" w:color="auto" w:fill="3B7E32"/>
            <w:vAlign w:val="center"/>
          </w:tcPr>
          <w:p w14:paraId="40CC10D5" w14:textId="77777777" w:rsidR="00301124" w:rsidRPr="00AB56BB" w:rsidRDefault="00D674FC" w:rsidP="00754FD1">
            <w:pPr>
              <w:pStyle w:val="TableParagraph"/>
              <w:keepLines/>
              <w:widowControl/>
              <w:ind w:left="1271"/>
              <w:rPr>
                <w:b/>
                <w:sz w:val="18"/>
                <w:szCs w:val="20"/>
              </w:rPr>
            </w:pPr>
            <w:r w:rsidRPr="00AB56BB">
              <w:rPr>
                <w:b/>
                <w:color w:val="FFFFFF"/>
                <w:sz w:val="18"/>
                <w:szCs w:val="20"/>
              </w:rPr>
              <w:t>Issues</w:t>
            </w:r>
            <w:r w:rsidRPr="00AB56BB">
              <w:rPr>
                <w:b/>
                <w:color w:val="FFFFFF"/>
                <w:spacing w:val="-8"/>
                <w:sz w:val="18"/>
                <w:szCs w:val="20"/>
              </w:rPr>
              <w:t xml:space="preserve"> </w:t>
            </w:r>
            <w:r w:rsidRPr="00AB56BB">
              <w:rPr>
                <w:b/>
                <w:color w:val="FFFFFF"/>
                <w:sz w:val="18"/>
                <w:szCs w:val="20"/>
              </w:rPr>
              <w:t>for</w:t>
            </w:r>
            <w:r w:rsidRPr="00AB56BB">
              <w:rPr>
                <w:b/>
                <w:color w:val="FFFFFF"/>
                <w:spacing w:val="-3"/>
                <w:sz w:val="18"/>
                <w:szCs w:val="20"/>
              </w:rPr>
              <w:t xml:space="preserve"> </w:t>
            </w:r>
            <w:r w:rsidRPr="00AB56BB">
              <w:rPr>
                <w:b/>
                <w:color w:val="FFFFFF"/>
                <w:spacing w:val="-2"/>
                <w:sz w:val="18"/>
                <w:szCs w:val="20"/>
              </w:rPr>
              <w:t>Attention</w:t>
            </w:r>
          </w:p>
        </w:tc>
      </w:tr>
      <w:tr w:rsidR="00301124" w:rsidRPr="00AB56BB" w14:paraId="15DFADA7" w14:textId="77777777" w:rsidTr="2539CAE0">
        <w:tc>
          <w:tcPr>
            <w:tcW w:w="1945" w:type="dxa"/>
            <w:vMerge/>
          </w:tcPr>
          <w:p w14:paraId="1599EE4C" w14:textId="77777777" w:rsidR="00301124" w:rsidRPr="00AB56BB" w:rsidRDefault="00301124" w:rsidP="00754FD1">
            <w:pPr>
              <w:keepLines/>
              <w:widowControl/>
              <w:rPr>
                <w:sz w:val="18"/>
                <w:szCs w:val="20"/>
              </w:rPr>
            </w:pPr>
          </w:p>
        </w:tc>
        <w:tc>
          <w:tcPr>
            <w:tcW w:w="2217" w:type="dxa"/>
            <w:vMerge/>
          </w:tcPr>
          <w:p w14:paraId="4D5799AC" w14:textId="77777777" w:rsidR="00301124" w:rsidRPr="00AB56BB" w:rsidRDefault="00301124" w:rsidP="00754FD1">
            <w:pPr>
              <w:keepLines/>
              <w:widowControl/>
              <w:rPr>
                <w:sz w:val="18"/>
                <w:szCs w:val="20"/>
              </w:rPr>
            </w:pPr>
          </w:p>
        </w:tc>
        <w:tc>
          <w:tcPr>
            <w:tcW w:w="971" w:type="dxa"/>
            <w:gridSpan w:val="2"/>
            <w:shd w:val="clear" w:color="auto" w:fill="3B7E32"/>
          </w:tcPr>
          <w:p w14:paraId="34AF40F0" w14:textId="77777777" w:rsidR="00301124" w:rsidRPr="00AB56BB" w:rsidRDefault="00D674FC" w:rsidP="00202A48">
            <w:pPr>
              <w:pStyle w:val="TableParagraph"/>
              <w:keepLines/>
              <w:widowControl/>
              <w:spacing w:line="266" w:lineRule="auto"/>
              <w:ind w:left="208" w:right="199" w:hanging="5"/>
              <w:jc w:val="center"/>
              <w:rPr>
                <w:b/>
                <w:sz w:val="18"/>
                <w:szCs w:val="20"/>
              </w:rPr>
            </w:pPr>
            <w:r w:rsidRPr="00AB56BB">
              <w:rPr>
                <w:b/>
                <w:color w:val="FFFFFF"/>
                <w:spacing w:val="-2"/>
                <w:sz w:val="18"/>
                <w:szCs w:val="20"/>
              </w:rPr>
              <w:t>Score (+/0/-</w:t>
            </w:r>
            <w:r w:rsidRPr="00AB56BB">
              <w:rPr>
                <w:b/>
                <w:color w:val="FFFFFF"/>
                <w:spacing w:val="-10"/>
                <w:sz w:val="18"/>
                <w:szCs w:val="20"/>
              </w:rPr>
              <w:t>)</w:t>
            </w:r>
          </w:p>
        </w:tc>
        <w:tc>
          <w:tcPr>
            <w:tcW w:w="3296" w:type="dxa"/>
            <w:shd w:val="clear" w:color="auto" w:fill="3B7E32"/>
          </w:tcPr>
          <w:p w14:paraId="425B0EC7" w14:textId="77777777" w:rsidR="00301124" w:rsidRPr="00AB56BB" w:rsidRDefault="00D674FC" w:rsidP="00754FD1">
            <w:pPr>
              <w:pStyle w:val="TableParagraph"/>
              <w:keepLines/>
              <w:widowControl/>
              <w:spacing w:line="222" w:lineRule="exact"/>
              <w:ind w:right="2"/>
              <w:jc w:val="center"/>
              <w:rPr>
                <w:b/>
                <w:sz w:val="18"/>
                <w:szCs w:val="20"/>
              </w:rPr>
            </w:pPr>
            <w:r w:rsidRPr="00AB56BB">
              <w:rPr>
                <w:b/>
                <w:color w:val="FFFFFF"/>
                <w:spacing w:val="-2"/>
                <w:sz w:val="18"/>
                <w:szCs w:val="20"/>
              </w:rPr>
              <w:t>Discussion</w:t>
            </w:r>
          </w:p>
        </w:tc>
        <w:tc>
          <w:tcPr>
            <w:tcW w:w="4534" w:type="dxa"/>
            <w:vMerge/>
          </w:tcPr>
          <w:p w14:paraId="3A52CF18" w14:textId="77777777" w:rsidR="00301124" w:rsidRPr="00AB56BB" w:rsidRDefault="00301124" w:rsidP="00754FD1">
            <w:pPr>
              <w:keepLines/>
              <w:widowControl/>
              <w:rPr>
                <w:sz w:val="18"/>
                <w:szCs w:val="20"/>
              </w:rPr>
            </w:pPr>
          </w:p>
        </w:tc>
      </w:tr>
      <w:tr w:rsidR="00AB56BB" w:rsidRPr="00AB56BB" w14:paraId="693A73E4" w14:textId="77777777" w:rsidTr="2539CAE0">
        <w:tc>
          <w:tcPr>
            <w:tcW w:w="1945" w:type="dxa"/>
            <w:vMerge w:val="restart"/>
            <w:vAlign w:val="center"/>
          </w:tcPr>
          <w:p w14:paraId="4115A2A7" w14:textId="1E46E7E7" w:rsidR="00AB56BB" w:rsidRPr="00AB56BB" w:rsidRDefault="00AB56BB" w:rsidP="005448D6">
            <w:pPr>
              <w:pStyle w:val="TableParagraph"/>
              <w:keepLines/>
              <w:widowControl/>
              <w:spacing w:line="266" w:lineRule="auto"/>
              <w:ind w:left="60"/>
              <w:rPr>
                <w:b/>
                <w:sz w:val="18"/>
                <w:szCs w:val="20"/>
              </w:rPr>
            </w:pPr>
            <w:r w:rsidRPr="00AB56BB">
              <w:rPr>
                <w:b/>
                <w:sz w:val="18"/>
                <w:szCs w:val="20"/>
              </w:rPr>
              <w:lastRenderedPageBreak/>
              <w:t>Rate Reviews (typically biennial)</w:t>
            </w:r>
          </w:p>
        </w:tc>
        <w:tc>
          <w:tcPr>
            <w:tcW w:w="2217" w:type="dxa"/>
          </w:tcPr>
          <w:p w14:paraId="760DC957" w14:textId="3FEFD1A9" w:rsidR="00AB56BB" w:rsidRPr="00AB56BB" w:rsidRDefault="00AB56BB" w:rsidP="00754FD1">
            <w:pPr>
              <w:pStyle w:val="TableParagraph"/>
              <w:keepLines/>
              <w:widowControl/>
              <w:spacing w:before="98" w:line="232" w:lineRule="auto"/>
              <w:ind w:left="104" w:right="149"/>
              <w:rPr>
                <w:sz w:val="18"/>
                <w:szCs w:val="20"/>
              </w:rPr>
            </w:pPr>
            <w:r w:rsidRPr="00AB56BB">
              <w:rPr>
                <w:sz w:val="18"/>
                <w:szCs w:val="20"/>
              </w:rPr>
              <w:t>Forward-looking</w:t>
            </w:r>
          </w:p>
        </w:tc>
        <w:tc>
          <w:tcPr>
            <w:tcW w:w="971" w:type="dxa"/>
            <w:gridSpan w:val="2"/>
          </w:tcPr>
          <w:p w14:paraId="09F2054C" w14:textId="57D17659" w:rsidR="00AB56BB" w:rsidRPr="00AB56BB" w:rsidRDefault="004B4755" w:rsidP="006D7164">
            <w:pPr>
              <w:pStyle w:val="TableParagraph"/>
              <w:keepLines/>
              <w:widowControl/>
              <w:jc w:val="center"/>
              <w:rPr>
                <w:rFonts w:ascii="Times New Roman"/>
                <w:sz w:val="18"/>
                <w:szCs w:val="20"/>
              </w:rPr>
            </w:pPr>
            <w:r>
              <w:rPr>
                <w:rFonts w:ascii="Times New Roman"/>
                <w:sz w:val="18"/>
                <w:szCs w:val="20"/>
              </w:rPr>
              <w:t>0</w:t>
            </w:r>
          </w:p>
        </w:tc>
        <w:tc>
          <w:tcPr>
            <w:tcW w:w="3296" w:type="dxa"/>
          </w:tcPr>
          <w:p w14:paraId="225CE415" w14:textId="21AF7715" w:rsidR="00AB56BB" w:rsidRDefault="00024D41" w:rsidP="00754FD1">
            <w:pPr>
              <w:pStyle w:val="TableParagraph"/>
              <w:keepLines/>
              <w:widowControl/>
              <w:rPr>
                <w:rFonts w:ascii="Times New Roman"/>
                <w:sz w:val="18"/>
                <w:szCs w:val="20"/>
              </w:rPr>
            </w:pPr>
            <w:r>
              <w:rPr>
                <w:rFonts w:ascii="Times New Roman"/>
                <w:sz w:val="18"/>
                <w:szCs w:val="20"/>
              </w:rPr>
              <w:t>Currently, p</w:t>
            </w:r>
            <w:r w:rsidR="00180D67">
              <w:rPr>
                <w:rFonts w:ascii="Times New Roman"/>
                <w:sz w:val="18"/>
                <w:szCs w:val="20"/>
              </w:rPr>
              <w:t>eak demand project</w:t>
            </w:r>
            <w:r>
              <w:rPr>
                <w:rFonts w:ascii="Times New Roman"/>
                <w:sz w:val="18"/>
                <w:szCs w:val="20"/>
              </w:rPr>
              <w:t>ion</w:t>
            </w:r>
            <w:r w:rsidR="00180D67">
              <w:rPr>
                <w:rFonts w:ascii="Times New Roman"/>
                <w:sz w:val="18"/>
                <w:szCs w:val="20"/>
              </w:rPr>
              <w:t>s are at a</w:t>
            </w:r>
            <w:r>
              <w:rPr>
                <w:rFonts w:ascii="Times New Roman"/>
                <w:sz w:val="18"/>
                <w:szCs w:val="20"/>
              </w:rPr>
              <w:t>n all time high for</w:t>
            </w:r>
            <w:r w:rsidR="00A54236">
              <w:rPr>
                <w:rFonts w:ascii="Times New Roman"/>
                <w:sz w:val="18"/>
                <w:szCs w:val="20"/>
              </w:rPr>
              <w:t xml:space="preserve"> at least some of the utilities providing electric service in Virginia. </w:t>
            </w:r>
            <w:r w:rsidR="00E07DCF">
              <w:rPr>
                <w:rFonts w:ascii="Times New Roman"/>
                <w:sz w:val="18"/>
                <w:szCs w:val="20"/>
              </w:rPr>
              <w:t xml:space="preserve">In light of this </w:t>
            </w:r>
            <w:r w:rsidR="005D442B">
              <w:rPr>
                <w:rFonts w:ascii="Times New Roman"/>
                <w:sz w:val="18"/>
                <w:szCs w:val="20"/>
              </w:rPr>
              <w:t xml:space="preserve">projected </w:t>
            </w:r>
            <w:r w:rsidR="00E07DCF">
              <w:rPr>
                <w:rFonts w:ascii="Times New Roman"/>
                <w:sz w:val="18"/>
                <w:szCs w:val="20"/>
              </w:rPr>
              <w:t>load growth</w:t>
            </w:r>
            <w:r w:rsidR="005D442B">
              <w:rPr>
                <w:rFonts w:ascii="Times New Roman"/>
                <w:sz w:val="18"/>
                <w:szCs w:val="20"/>
              </w:rPr>
              <w:t>,</w:t>
            </w:r>
            <w:r w:rsidR="00E07DCF">
              <w:rPr>
                <w:rFonts w:ascii="Times New Roman"/>
                <w:sz w:val="18"/>
                <w:szCs w:val="20"/>
              </w:rPr>
              <w:t xml:space="preserve"> driven </w:t>
            </w:r>
            <w:r w:rsidR="005D442B">
              <w:rPr>
                <w:rFonts w:ascii="Times New Roman"/>
                <w:sz w:val="18"/>
                <w:szCs w:val="20"/>
              </w:rPr>
              <w:t xml:space="preserve">primarily </w:t>
            </w:r>
            <w:r w:rsidR="00E07DCF">
              <w:rPr>
                <w:rFonts w:ascii="Times New Roman"/>
                <w:sz w:val="18"/>
                <w:szCs w:val="20"/>
              </w:rPr>
              <w:t xml:space="preserve">by </w:t>
            </w:r>
            <w:r w:rsidR="005D442B">
              <w:rPr>
                <w:rFonts w:ascii="Times New Roman"/>
                <w:sz w:val="18"/>
                <w:szCs w:val="20"/>
              </w:rPr>
              <w:t xml:space="preserve">expectations about </w:t>
            </w:r>
            <w:r w:rsidR="00E07DCF">
              <w:rPr>
                <w:rFonts w:ascii="Times New Roman"/>
                <w:sz w:val="18"/>
                <w:szCs w:val="20"/>
              </w:rPr>
              <w:t>“</w:t>
            </w:r>
            <w:r w:rsidR="00E07DCF">
              <w:rPr>
                <w:rFonts w:ascii="Times New Roman"/>
                <w:sz w:val="18"/>
                <w:szCs w:val="20"/>
              </w:rPr>
              <w:t>large load</w:t>
            </w:r>
            <w:r w:rsidR="00E07DCF">
              <w:rPr>
                <w:rFonts w:ascii="Times New Roman"/>
                <w:sz w:val="18"/>
                <w:szCs w:val="20"/>
              </w:rPr>
              <w:t>”</w:t>
            </w:r>
            <w:r w:rsidR="00E07DCF">
              <w:rPr>
                <w:rFonts w:ascii="Times New Roman"/>
                <w:sz w:val="18"/>
                <w:szCs w:val="20"/>
              </w:rPr>
              <w:t xml:space="preserve"> (i.e. 200MW +)</w:t>
            </w:r>
            <w:r w:rsidR="005D442B">
              <w:rPr>
                <w:rFonts w:ascii="Times New Roman"/>
                <w:sz w:val="18"/>
                <w:szCs w:val="20"/>
              </w:rPr>
              <w:t xml:space="preserve"> customers </w:t>
            </w:r>
            <w:r w:rsidR="00B7427F">
              <w:rPr>
                <w:rFonts w:ascii="Times New Roman"/>
                <w:sz w:val="18"/>
                <w:szCs w:val="20"/>
              </w:rPr>
              <w:t xml:space="preserve">coming to Virginia, the State Corporation Commission convened a Technical Conference and invited </w:t>
            </w:r>
            <w:r w:rsidR="005907CD">
              <w:rPr>
                <w:rFonts w:ascii="Times New Roman"/>
                <w:sz w:val="18"/>
                <w:szCs w:val="20"/>
              </w:rPr>
              <w:t>panelists to present. One item of discussion that</w:t>
            </w:r>
            <w:r w:rsidR="0016294A">
              <w:rPr>
                <w:rFonts w:ascii="Times New Roman"/>
                <w:sz w:val="18"/>
                <w:szCs w:val="20"/>
              </w:rPr>
              <w:t xml:space="preserve"> was raised at the TC and is relevant here was the idea of establishing a new customer class for these large load customers. Evaluating </w:t>
            </w:r>
            <w:r w:rsidR="00397E55">
              <w:rPr>
                <w:rFonts w:ascii="Times New Roman"/>
                <w:sz w:val="18"/>
                <w:szCs w:val="20"/>
              </w:rPr>
              <w:t>whether the current customer class designations and cost allocations are adequate and support just and reasonable rates for all customers is some</w:t>
            </w:r>
            <w:r w:rsidR="001572F5">
              <w:rPr>
                <w:rFonts w:ascii="Times New Roman"/>
                <w:sz w:val="18"/>
                <w:szCs w:val="20"/>
              </w:rPr>
              <w:t>thing the Commission is evaluating</w:t>
            </w:r>
            <w:r w:rsidR="00397E55">
              <w:rPr>
                <w:rFonts w:ascii="Times New Roman"/>
                <w:sz w:val="18"/>
                <w:szCs w:val="20"/>
              </w:rPr>
              <w:t xml:space="preserve"> in a rate review/</w:t>
            </w:r>
            <w:r w:rsidR="00397E55">
              <w:rPr>
                <w:rFonts w:ascii="Times New Roman"/>
                <w:sz w:val="18"/>
                <w:szCs w:val="20"/>
              </w:rPr>
              <w:t>”</w:t>
            </w:r>
            <w:r w:rsidR="00397E55">
              <w:rPr>
                <w:rFonts w:ascii="Times New Roman"/>
                <w:sz w:val="18"/>
                <w:szCs w:val="20"/>
              </w:rPr>
              <w:t>rate case.</w:t>
            </w:r>
            <w:r w:rsidR="00397E55">
              <w:rPr>
                <w:rFonts w:ascii="Times New Roman"/>
                <w:sz w:val="18"/>
                <w:szCs w:val="20"/>
              </w:rPr>
              <w:t>”</w:t>
            </w:r>
          </w:p>
          <w:p w14:paraId="09F49548" w14:textId="77777777" w:rsidR="004B4755" w:rsidRDefault="004B4755" w:rsidP="00754FD1">
            <w:pPr>
              <w:pStyle w:val="TableParagraph"/>
              <w:keepLines/>
              <w:widowControl/>
              <w:rPr>
                <w:rFonts w:ascii="Times New Roman"/>
                <w:sz w:val="18"/>
                <w:szCs w:val="20"/>
              </w:rPr>
            </w:pPr>
          </w:p>
          <w:p w14:paraId="3F8257FD" w14:textId="23243BEC" w:rsidR="00EC6957" w:rsidRDefault="00C31C29" w:rsidP="00754FD1">
            <w:pPr>
              <w:pStyle w:val="TableParagraph"/>
              <w:keepLines/>
              <w:widowControl/>
              <w:rPr>
                <w:rFonts w:ascii="Times New Roman"/>
                <w:sz w:val="18"/>
                <w:szCs w:val="20"/>
              </w:rPr>
            </w:pPr>
            <w:r>
              <w:rPr>
                <w:rFonts w:ascii="Times New Roman"/>
                <w:sz w:val="18"/>
                <w:szCs w:val="20"/>
              </w:rPr>
              <w:t>In theory,</w:t>
            </w:r>
            <w:r w:rsidR="002B686F">
              <w:rPr>
                <w:rFonts w:ascii="Times New Roman"/>
                <w:sz w:val="18"/>
                <w:szCs w:val="20"/>
              </w:rPr>
              <w:t xml:space="preserve"> </w:t>
            </w:r>
            <w:r w:rsidR="00291B6D">
              <w:rPr>
                <w:rFonts w:ascii="Times New Roman"/>
                <w:sz w:val="18"/>
                <w:szCs w:val="20"/>
              </w:rPr>
              <w:t>the Commissio</w:t>
            </w:r>
            <w:r w:rsidR="00D522BF">
              <w:rPr>
                <w:rFonts w:ascii="Times New Roman"/>
                <w:sz w:val="18"/>
                <w:szCs w:val="20"/>
              </w:rPr>
              <w:t>n</w:t>
            </w:r>
            <w:r w:rsidR="00D522BF">
              <w:rPr>
                <w:rFonts w:ascii="Times New Roman"/>
                <w:sz w:val="18"/>
                <w:szCs w:val="20"/>
              </w:rPr>
              <w:t>’</w:t>
            </w:r>
            <w:r w:rsidR="00D522BF">
              <w:rPr>
                <w:rFonts w:ascii="Times New Roman"/>
                <w:sz w:val="18"/>
                <w:szCs w:val="20"/>
              </w:rPr>
              <w:t xml:space="preserve">s </w:t>
            </w:r>
            <w:r w:rsidR="006B7EF3">
              <w:rPr>
                <w:rFonts w:ascii="Times New Roman"/>
                <w:sz w:val="18"/>
                <w:szCs w:val="20"/>
              </w:rPr>
              <w:t>forward-looking</w:t>
            </w:r>
            <w:r w:rsidR="00D522BF">
              <w:rPr>
                <w:rFonts w:ascii="Times New Roman"/>
                <w:sz w:val="18"/>
                <w:szCs w:val="20"/>
              </w:rPr>
              <w:t xml:space="preserve"> decisions about what rates </w:t>
            </w:r>
            <w:r w:rsidR="00561495">
              <w:rPr>
                <w:rFonts w:ascii="Times New Roman"/>
                <w:sz w:val="18"/>
                <w:szCs w:val="20"/>
              </w:rPr>
              <w:t>it</w:t>
            </w:r>
            <w:r w:rsidR="002E72B9">
              <w:rPr>
                <w:rFonts w:ascii="Times New Roman"/>
                <w:sz w:val="18"/>
                <w:szCs w:val="20"/>
              </w:rPr>
              <w:t xml:space="preserve"> approve</w:t>
            </w:r>
            <w:r w:rsidR="00561495">
              <w:rPr>
                <w:rFonts w:ascii="Times New Roman"/>
                <w:sz w:val="18"/>
                <w:szCs w:val="20"/>
              </w:rPr>
              <w:t>s</w:t>
            </w:r>
            <w:r w:rsidR="002E72B9">
              <w:rPr>
                <w:rFonts w:ascii="Times New Roman"/>
                <w:sz w:val="18"/>
                <w:szCs w:val="20"/>
              </w:rPr>
              <w:t xml:space="preserve"> would influence the utility to conduct its business in a particular manner</w:t>
            </w:r>
            <w:r w:rsidR="00FE4AFB">
              <w:rPr>
                <w:rFonts w:ascii="Times New Roman"/>
                <w:sz w:val="18"/>
                <w:szCs w:val="20"/>
              </w:rPr>
              <w:t>.</w:t>
            </w:r>
            <w:r w:rsidR="00FF092E">
              <w:rPr>
                <w:rFonts w:ascii="Times New Roman"/>
                <w:sz w:val="18"/>
                <w:szCs w:val="20"/>
              </w:rPr>
              <w:t xml:space="preserve"> </w:t>
            </w:r>
            <w:r w:rsidR="004B4755">
              <w:rPr>
                <w:rFonts w:ascii="Times New Roman"/>
                <w:sz w:val="18"/>
                <w:szCs w:val="20"/>
              </w:rPr>
              <w:t>However, t</w:t>
            </w:r>
            <w:r w:rsidR="00FF092E">
              <w:rPr>
                <w:rFonts w:ascii="Times New Roman"/>
                <w:sz w:val="18"/>
                <w:szCs w:val="20"/>
              </w:rPr>
              <w:t>he high utilization of rate adjustment clauses</w:t>
            </w:r>
            <w:r w:rsidR="002E72B9">
              <w:rPr>
                <w:rFonts w:ascii="Times New Roman"/>
                <w:sz w:val="18"/>
                <w:szCs w:val="20"/>
              </w:rPr>
              <w:t xml:space="preserve"> </w:t>
            </w:r>
            <w:r w:rsidR="00FF092E">
              <w:rPr>
                <w:rFonts w:ascii="Times New Roman"/>
                <w:sz w:val="18"/>
                <w:szCs w:val="20"/>
              </w:rPr>
              <w:t xml:space="preserve">here in Virginia, seems </w:t>
            </w:r>
            <w:r w:rsidR="000C2F12">
              <w:rPr>
                <w:rFonts w:ascii="Times New Roman"/>
                <w:sz w:val="18"/>
                <w:szCs w:val="20"/>
              </w:rPr>
              <w:t>to indicate that the current rate reviews structure has little influence on the utilities</w:t>
            </w:r>
            <w:r w:rsidR="000C2F12">
              <w:rPr>
                <w:rFonts w:ascii="Times New Roman"/>
                <w:sz w:val="18"/>
                <w:szCs w:val="20"/>
              </w:rPr>
              <w:t>’</w:t>
            </w:r>
            <w:r w:rsidR="00EC6957">
              <w:rPr>
                <w:rFonts w:ascii="Times New Roman"/>
                <w:sz w:val="18"/>
                <w:szCs w:val="20"/>
              </w:rPr>
              <w:t xml:space="preserve"> efforts to reduce peak demand. </w:t>
            </w:r>
          </w:p>
          <w:p w14:paraId="039CBA44" w14:textId="77777777" w:rsidR="00EC6957" w:rsidRDefault="00EC6957" w:rsidP="00754FD1">
            <w:pPr>
              <w:pStyle w:val="TableParagraph"/>
              <w:keepLines/>
              <w:widowControl/>
              <w:rPr>
                <w:rFonts w:ascii="Times New Roman"/>
                <w:sz w:val="18"/>
                <w:szCs w:val="20"/>
              </w:rPr>
            </w:pPr>
          </w:p>
          <w:p w14:paraId="297C0136" w14:textId="77777777" w:rsidR="00C62832" w:rsidRDefault="00EC6957" w:rsidP="00754FD1">
            <w:pPr>
              <w:pStyle w:val="TableParagraph"/>
              <w:keepLines/>
              <w:widowControl/>
              <w:rPr>
                <w:rFonts w:ascii="Times New Roman"/>
                <w:sz w:val="18"/>
                <w:szCs w:val="20"/>
              </w:rPr>
            </w:pPr>
            <w:r>
              <w:rPr>
                <w:rFonts w:ascii="Times New Roman"/>
                <w:sz w:val="18"/>
                <w:szCs w:val="20"/>
              </w:rPr>
              <w:t xml:space="preserve">This is likely associated with the fact that Virginia regulations </w:t>
            </w:r>
            <w:r w:rsidR="00D5219C">
              <w:rPr>
                <w:rFonts w:ascii="Times New Roman"/>
                <w:sz w:val="18"/>
                <w:szCs w:val="20"/>
              </w:rPr>
              <w:t xml:space="preserve">allow an avenue </w:t>
            </w:r>
            <w:r w:rsidR="00525801">
              <w:rPr>
                <w:rFonts w:ascii="Times New Roman"/>
                <w:sz w:val="18"/>
                <w:szCs w:val="20"/>
              </w:rPr>
              <w:t>for</w:t>
            </w:r>
            <w:r w:rsidR="00D5219C">
              <w:rPr>
                <w:rFonts w:ascii="Times New Roman"/>
                <w:sz w:val="18"/>
                <w:szCs w:val="20"/>
              </w:rPr>
              <w:t xml:space="preserve"> utilities to circumvent the confines of the base rate structure</w:t>
            </w:r>
            <w:r w:rsidR="00525801">
              <w:rPr>
                <w:rFonts w:ascii="Times New Roman"/>
                <w:sz w:val="18"/>
                <w:szCs w:val="20"/>
              </w:rPr>
              <w:t xml:space="preserve"> to</w:t>
            </w:r>
            <w:r w:rsidR="00D5219C">
              <w:rPr>
                <w:rFonts w:ascii="Times New Roman"/>
                <w:sz w:val="18"/>
                <w:szCs w:val="20"/>
              </w:rPr>
              <w:t xml:space="preserve"> still seek cost recovery for investments</w:t>
            </w:r>
            <w:r w:rsidR="00304AF6">
              <w:rPr>
                <w:rFonts w:ascii="Times New Roman"/>
                <w:sz w:val="18"/>
                <w:szCs w:val="20"/>
              </w:rPr>
              <w:t xml:space="preserve"> that would in</w:t>
            </w:r>
            <w:r w:rsidR="006645A1">
              <w:rPr>
                <w:rFonts w:ascii="Times New Roman"/>
                <w:sz w:val="18"/>
                <w:szCs w:val="20"/>
              </w:rPr>
              <w:t xml:space="preserve"> many</w:t>
            </w:r>
            <w:r w:rsidR="00304AF6">
              <w:rPr>
                <w:rFonts w:ascii="Times New Roman"/>
                <w:sz w:val="18"/>
                <w:szCs w:val="20"/>
              </w:rPr>
              <w:t xml:space="preserve"> other jurisdictions be included in base rates, like </w:t>
            </w:r>
            <w:r w:rsidR="006645A1">
              <w:rPr>
                <w:rFonts w:ascii="Times New Roman"/>
                <w:sz w:val="18"/>
                <w:szCs w:val="20"/>
              </w:rPr>
              <w:t>generation resources.</w:t>
            </w:r>
          </w:p>
          <w:p w14:paraId="6ACD995B" w14:textId="77777777" w:rsidR="00525801" w:rsidRDefault="00525801" w:rsidP="00754FD1">
            <w:pPr>
              <w:pStyle w:val="TableParagraph"/>
              <w:keepLines/>
              <w:widowControl/>
              <w:rPr>
                <w:rFonts w:ascii="Times New Roman"/>
                <w:sz w:val="18"/>
                <w:szCs w:val="20"/>
              </w:rPr>
            </w:pPr>
          </w:p>
          <w:p w14:paraId="24C1DD4C" w14:textId="620979BE" w:rsidR="00525801" w:rsidRPr="00AB56BB" w:rsidRDefault="00525801" w:rsidP="00754FD1">
            <w:pPr>
              <w:pStyle w:val="TableParagraph"/>
              <w:keepLines/>
              <w:widowControl/>
              <w:rPr>
                <w:rFonts w:ascii="Times New Roman"/>
                <w:sz w:val="18"/>
                <w:szCs w:val="20"/>
              </w:rPr>
            </w:pPr>
            <w:r>
              <w:rPr>
                <w:rFonts w:ascii="Times New Roman"/>
                <w:sz w:val="18"/>
                <w:szCs w:val="20"/>
              </w:rPr>
              <w:t>Finally</w:t>
            </w:r>
            <w:r w:rsidR="0081649F">
              <w:rPr>
                <w:rFonts w:ascii="Times New Roman"/>
                <w:sz w:val="18"/>
                <w:szCs w:val="20"/>
              </w:rPr>
              <w:t>, Virginia</w:t>
            </w:r>
            <w:r w:rsidR="0081649F">
              <w:rPr>
                <w:rFonts w:ascii="Times New Roman"/>
                <w:sz w:val="18"/>
                <w:szCs w:val="20"/>
              </w:rPr>
              <w:t>’</w:t>
            </w:r>
            <w:r w:rsidR="0081649F">
              <w:rPr>
                <w:rFonts w:ascii="Times New Roman"/>
                <w:sz w:val="18"/>
                <w:szCs w:val="20"/>
              </w:rPr>
              <w:t>s</w:t>
            </w:r>
            <w:r w:rsidR="00A0610E">
              <w:rPr>
                <w:rFonts w:ascii="Times New Roman"/>
                <w:sz w:val="18"/>
                <w:szCs w:val="20"/>
              </w:rPr>
              <w:t xml:space="preserve"> laws do not ignore the need to evaluate peak demand reduction options, as IRP Statute </w:t>
            </w:r>
            <w:r w:rsidR="00A0610E">
              <w:rPr>
                <w:rFonts w:ascii="Times New Roman"/>
                <w:sz w:val="18"/>
                <w:szCs w:val="20"/>
              </w:rPr>
              <w:t>§</w:t>
            </w:r>
            <w:r w:rsidR="00A0610E">
              <w:rPr>
                <w:rFonts w:ascii="Times New Roman"/>
                <w:sz w:val="18"/>
                <w:szCs w:val="20"/>
              </w:rPr>
              <w:t>56-598</w:t>
            </w:r>
            <w:r w:rsidR="00067582">
              <w:rPr>
                <w:rFonts w:ascii="Times New Roman"/>
                <w:sz w:val="18"/>
                <w:szCs w:val="20"/>
              </w:rPr>
              <w:t xml:space="preserve"> 1 c</w:t>
            </w:r>
            <w:r w:rsidR="009E0C40">
              <w:rPr>
                <w:rFonts w:ascii="Times New Roman"/>
                <w:sz w:val="18"/>
                <w:szCs w:val="20"/>
              </w:rPr>
              <w:t xml:space="preserve"> includ</w:t>
            </w:r>
            <w:r w:rsidR="00682028">
              <w:rPr>
                <w:rFonts w:ascii="Times New Roman"/>
                <w:sz w:val="18"/>
                <w:szCs w:val="20"/>
              </w:rPr>
              <w:t xml:space="preserve">es a </w:t>
            </w:r>
            <w:r w:rsidR="006B7EF3">
              <w:rPr>
                <w:rFonts w:ascii="Times New Roman"/>
                <w:sz w:val="18"/>
                <w:szCs w:val="20"/>
              </w:rPr>
              <w:t>mention of</w:t>
            </w:r>
            <w:r w:rsidR="00682028">
              <w:rPr>
                <w:rFonts w:ascii="Times New Roman"/>
                <w:sz w:val="18"/>
                <w:szCs w:val="20"/>
              </w:rPr>
              <w:t xml:space="preserve"> </w:t>
            </w:r>
            <w:r w:rsidR="00682028">
              <w:rPr>
                <w:rFonts w:ascii="Times New Roman"/>
                <w:sz w:val="18"/>
                <w:szCs w:val="20"/>
              </w:rPr>
              <w:t>“</w:t>
            </w:r>
            <w:r w:rsidR="00682028">
              <w:rPr>
                <w:rFonts w:ascii="Times New Roman"/>
                <w:sz w:val="18"/>
                <w:szCs w:val="20"/>
              </w:rPr>
              <w:t>r</w:t>
            </w:r>
            <w:r w:rsidR="0020188F" w:rsidRPr="0020188F">
              <w:rPr>
                <w:rFonts w:ascii="Times New Roman"/>
                <w:sz w:val="18"/>
                <w:szCs w:val="20"/>
              </w:rPr>
              <w:t>educing load growth and peak demand growth through cost-effective demand reduction programs</w:t>
            </w:r>
            <w:r w:rsidR="00682028">
              <w:rPr>
                <w:rFonts w:ascii="Times New Roman"/>
                <w:sz w:val="18"/>
                <w:szCs w:val="20"/>
              </w:rPr>
              <w:t>.</w:t>
            </w:r>
            <w:r w:rsidR="00682028">
              <w:rPr>
                <w:rFonts w:ascii="Times New Roman"/>
                <w:sz w:val="18"/>
                <w:szCs w:val="20"/>
              </w:rPr>
              <w:t>”</w:t>
            </w:r>
            <w:r w:rsidR="006B7EF3">
              <w:rPr>
                <w:rFonts w:ascii="Times New Roman"/>
                <w:sz w:val="18"/>
                <w:szCs w:val="20"/>
              </w:rPr>
              <w:t xml:space="preserve"> While the IRP is one place to evaluate peak load reduction concepts, rate reviews offer another avenue to </w:t>
            </w:r>
            <w:r w:rsidR="00A63CFB">
              <w:rPr>
                <w:rFonts w:ascii="Times New Roman"/>
                <w:sz w:val="18"/>
                <w:szCs w:val="20"/>
              </w:rPr>
              <w:t>evaluate effectiveness of rate design in encouraging peak demand reduction.</w:t>
            </w:r>
            <w:r w:rsidR="006C2FDE">
              <w:rPr>
                <w:rFonts w:ascii="Times New Roman"/>
                <w:sz w:val="18"/>
                <w:szCs w:val="20"/>
              </w:rPr>
              <w:t xml:space="preserve"> This can perhaps be more directly observed in the backward looking earnings adjustments for four categories of performance</w:t>
            </w:r>
            <w:r w:rsidR="003F2EF2">
              <w:rPr>
                <w:rFonts w:ascii="Times New Roman"/>
                <w:sz w:val="18"/>
                <w:szCs w:val="20"/>
              </w:rPr>
              <w:t>, discussed in the next section.</w:t>
            </w:r>
          </w:p>
        </w:tc>
        <w:tc>
          <w:tcPr>
            <w:tcW w:w="4534" w:type="dxa"/>
          </w:tcPr>
          <w:p w14:paraId="4E96C25E" w14:textId="77777777" w:rsidR="003913AC" w:rsidRDefault="005C345C" w:rsidP="00754FD1">
            <w:pPr>
              <w:pStyle w:val="TableParagraph"/>
              <w:keepLines/>
              <w:widowControl/>
              <w:rPr>
                <w:rFonts w:ascii="Times New Roman"/>
                <w:sz w:val="18"/>
                <w:szCs w:val="20"/>
              </w:rPr>
            </w:pPr>
            <w:r>
              <w:rPr>
                <w:rFonts w:ascii="Times New Roman"/>
                <w:sz w:val="18"/>
                <w:szCs w:val="20"/>
              </w:rPr>
              <w:t xml:space="preserve">In some states, time of use or time of day rates </w:t>
            </w:r>
            <w:r w:rsidR="008402C2">
              <w:rPr>
                <w:rFonts w:ascii="Times New Roman"/>
                <w:sz w:val="18"/>
                <w:szCs w:val="20"/>
              </w:rPr>
              <w:t xml:space="preserve">help to connect costs to provide service </w:t>
            </w:r>
            <w:r w:rsidR="001B29C9">
              <w:rPr>
                <w:rFonts w:ascii="Times New Roman"/>
                <w:sz w:val="18"/>
                <w:szCs w:val="20"/>
              </w:rPr>
              <w:t>to the time the service is provided t</w:t>
            </w:r>
            <w:r w:rsidR="007369FA">
              <w:rPr>
                <w:rFonts w:ascii="Times New Roman"/>
                <w:sz w:val="18"/>
                <w:szCs w:val="20"/>
              </w:rPr>
              <w:t xml:space="preserve">o incent customers to use energy when it is least expensive to provide the service, thereby shifting load away from peak demand times (i.e. the most expensive time to provide service). </w:t>
            </w:r>
            <w:r w:rsidR="002D67BC">
              <w:rPr>
                <w:rFonts w:ascii="Times New Roman"/>
                <w:sz w:val="18"/>
                <w:szCs w:val="20"/>
              </w:rPr>
              <w:t xml:space="preserve">Evaluating any existing time of use offerings and understanding whether a </w:t>
            </w:r>
            <w:r w:rsidR="00E5530E">
              <w:rPr>
                <w:rFonts w:ascii="Times New Roman"/>
                <w:sz w:val="18"/>
                <w:szCs w:val="20"/>
              </w:rPr>
              <w:t xml:space="preserve">full revamp of rates (where time of use is the default rate instead of an option to </w:t>
            </w:r>
            <w:r w:rsidR="00E5530E">
              <w:rPr>
                <w:rFonts w:ascii="Times New Roman"/>
                <w:sz w:val="18"/>
                <w:szCs w:val="20"/>
              </w:rPr>
              <w:t>“</w:t>
            </w:r>
            <w:r w:rsidR="00E5530E">
              <w:rPr>
                <w:rFonts w:ascii="Times New Roman"/>
                <w:sz w:val="18"/>
                <w:szCs w:val="20"/>
              </w:rPr>
              <w:t>opt-in</w:t>
            </w:r>
            <w:r w:rsidR="00E5530E">
              <w:rPr>
                <w:rFonts w:ascii="Times New Roman"/>
                <w:sz w:val="18"/>
                <w:szCs w:val="20"/>
              </w:rPr>
              <w:t>”</w:t>
            </w:r>
            <w:r w:rsidR="00E5530E">
              <w:rPr>
                <w:rFonts w:ascii="Times New Roman"/>
                <w:sz w:val="18"/>
                <w:szCs w:val="20"/>
              </w:rPr>
              <w:t xml:space="preserve"> to)</w:t>
            </w:r>
            <w:r w:rsidR="003913AC">
              <w:rPr>
                <w:rFonts w:ascii="Times New Roman"/>
                <w:sz w:val="18"/>
                <w:szCs w:val="20"/>
              </w:rPr>
              <w:t xml:space="preserve"> is something the Commission could undertake.</w:t>
            </w:r>
          </w:p>
          <w:p w14:paraId="33AED957" w14:textId="77777777" w:rsidR="003913AC" w:rsidRDefault="003913AC" w:rsidP="00754FD1">
            <w:pPr>
              <w:pStyle w:val="TableParagraph"/>
              <w:keepLines/>
              <w:widowControl/>
              <w:rPr>
                <w:rFonts w:ascii="Times New Roman"/>
                <w:sz w:val="18"/>
                <w:szCs w:val="20"/>
              </w:rPr>
            </w:pPr>
          </w:p>
          <w:p w14:paraId="54A788E3" w14:textId="5A682A33" w:rsidR="00AB56BB" w:rsidRDefault="003913AC" w:rsidP="00754FD1">
            <w:pPr>
              <w:pStyle w:val="TableParagraph"/>
              <w:keepLines/>
              <w:widowControl/>
              <w:rPr>
                <w:rFonts w:ascii="Times New Roman"/>
                <w:sz w:val="18"/>
                <w:szCs w:val="20"/>
              </w:rPr>
            </w:pPr>
            <w:r>
              <w:rPr>
                <w:rFonts w:ascii="Times New Roman"/>
                <w:sz w:val="18"/>
                <w:szCs w:val="20"/>
              </w:rPr>
              <w:t>Thus, r</w:t>
            </w:r>
            <w:r w:rsidR="0012615E">
              <w:rPr>
                <w:rFonts w:ascii="Times New Roman"/>
                <w:sz w:val="18"/>
                <w:szCs w:val="20"/>
              </w:rPr>
              <w:t>ate reviews could encourage peak demand reduction if the utility were required to develop rate structures t</w:t>
            </w:r>
            <w:r w:rsidR="009527B4">
              <w:rPr>
                <w:rFonts w:ascii="Times New Roman"/>
                <w:sz w:val="18"/>
                <w:szCs w:val="20"/>
              </w:rPr>
              <w:t>o</w:t>
            </w:r>
            <w:r w:rsidR="0012615E">
              <w:rPr>
                <w:rFonts w:ascii="Times New Roman"/>
                <w:sz w:val="18"/>
                <w:szCs w:val="20"/>
              </w:rPr>
              <w:t xml:space="preserve"> incent load shifting</w:t>
            </w:r>
            <w:r w:rsidR="00925C97">
              <w:rPr>
                <w:rFonts w:ascii="Times New Roman"/>
                <w:sz w:val="18"/>
                <w:szCs w:val="20"/>
              </w:rPr>
              <w:t xml:space="preserve"> through </w:t>
            </w:r>
            <w:r w:rsidR="009527B4">
              <w:rPr>
                <w:rFonts w:ascii="Times New Roman"/>
                <w:sz w:val="18"/>
                <w:szCs w:val="20"/>
              </w:rPr>
              <w:t xml:space="preserve">time of use rates as well as </w:t>
            </w:r>
            <w:r w:rsidR="00925C97">
              <w:rPr>
                <w:rFonts w:ascii="Times New Roman"/>
                <w:sz w:val="18"/>
                <w:szCs w:val="20"/>
              </w:rPr>
              <w:t>enhanced demand response programs, virtual power plants, manage</w:t>
            </w:r>
            <w:r w:rsidR="00CD61D3">
              <w:rPr>
                <w:rFonts w:ascii="Times New Roman"/>
                <w:sz w:val="18"/>
                <w:szCs w:val="20"/>
              </w:rPr>
              <w:t>d electric</w:t>
            </w:r>
            <w:r w:rsidR="00925C97">
              <w:rPr>
                <w:rFonts w:ascii="Times New Roman"/>
                <w:sz w:val="18"/>
                <w:szCs w:val="20"/>
              </w:rPr>
              <w:t xml:space="preserve"> vehicle charging and other practices and technologies that</w:t>
            </w:r>
            <w:r w:rsidR="00CD61D3">
              <w:rPr>
                <w:rFonts w:ascii="Times New Roman"/>
                <w:sz w:val="18"/>
                <w:szCs w:val="20"/>
              </w:rPr>
              <w:t xml:space="preserve"> make the most of</w:t>
            </w:r>
            <w:r w:rsidR="00925C97">
              <w:rPr>
                <w:rFonts w:ascii="Times New Roman"/>
                <w:sz w:val="18"/>
                <w:szCs w:val="20"/>
              </w:rPr>
              <w:t xml:space="preserve"> </w:t>
            </w:r>
            <w:r w:rsidR="00CD61D3">
              <w:rPr>
                <w:rFonts w:ascii="Times New Roman"/>
                <w:sz w:val="18"/>
                <w:szCs w:val="20"/>
              </w:rPr>
              <w:t xml:space="preserve">load flexibility </w:t>
            </w:r>
            <w:r w:rsidR="00C840A1">
              <w:rPr>
                <w:rFonts w:ascii="Times New Roman"/>
                <w:sz w:val="18"/>
                <w:szCs w:val="20"/>
              </w:rPr>
              <w:t>to reduce peak demand.</w:t>
            </w:r>
          </w:p>
          <w:p w14:paraId="3C53784A" w14:textId="36169D17" w:rsidR="00805C9F" w:rsidRPr="00AB56BB" w:rsidRDefault="00805C9F" w:rsidP="00754FD1">
            <w:pPr>
              <w:pStyle w:val="TableParagraph"/>
              <w:keepLines/>
              <w:widowControl/>
              <w:rPr>
                <w:rFonts w:ascii="Times New Roman"/>
                <w:sz w:val="18"/>
                <w:szCs w:val="20"/>
              </w:rPr>
            </w:pPr>
          </w:p>
        </w:tc>
      </w:tr>
      <w:tr w:rsidR="00AB56BB" w:rsidRPr="00AB56BB" w14:paraId="6CCC7BB6" w14:textId="77777777" w:rsidTr="705AF046">
        <w:trPr>
          <w:trHeight w:val="1398"/>
        </w:trPr>
        <w:tc>
          <w:tcPr>
            <w:tcW w:w="1945" w:type="dxa"/>
            <w:vMerge/>
          </w:tcPr>
          <w:p w14:paraId="1D6A26E7" w14:textId="77777777" w:rsidR="00AB56BB" w:rsidRPr="00AB56BB" w:rsidRDefault="00AB56BB" w:rsidP="005448D6">
            <w:pPr>
              <w:pStyle w:val="TableParagraph"/>
              <w:keepLines/>
              <w:widowControl/>
              <w:spacing w:line="266" w:lineRule="auto"/>
              <w:ind w:left="60"/>
              <w:rPr>
                <w:b/>
                <w:sz w:val="18"/>
                <w:szCs w:val="20"/>
              </w:rPr>
            </w:pPr>
          </w:p>
        </w:tc>
        <w:tc>
          <w:tcPr>
            <w:tcW w:w="2217" w:type="dxa"/>
          </w:tcPr>
          <w:p w14:paraId="0C633161" w14:textId="50065DFC" w:rsidR="00AB56BB" w:rsidRPr="00170B8D" w:rsidRDefault="00A71544" w:rsidP="00754FD1">
            <w:pPr>
              <w:pStyle w:val="TableParagraph"/>
              <w:keepLines/>
              <w:widowControl/>
              <w:spacing w:before="98" w:line="232" w:lineRule="auto"/>
              <w:ind w:left="104" w:right="149"/>
              <w:rPr>
                <w:sz w:val="18"/>
                <w:szCs w:val="20"/>
              </w:rPr>
            </w:pPr>
            <w:r>
              <w:rPr>
                <w:sz w:val="18"/>
                <w:szCs w:val="20"/>
              </w:rPr>
              <w:t>Backward-looking</w:t>
            </w:r>
            <w:r w:rsidR="00AB56BB" w:rsidRPr="00170B8D">
              <w:rPr>
                <w:sz w:val="18"/>
                <w:szCs w:val="20"/>
              </w:rPr>
              <w:t xml:space="preserve"> (w/ earnings adjustments) </w:t>
            </w:r>
          </w:p>
        </w:tc>
        <w:tc>
          <w:tcPr>
            <w:tcW w:w="971" w:type="dxa"/>
            <w:gridSpan w:val="2"/>
          </w:tcPr>
          <w:p w14:paraId="546A1853" w14:textId="20905367" w:rsidR="00AB56BB" w:rsidRPr="00AB56BB" w:rsidRDefault="003F2EF2" w:rsidP="006D7164">
            <w:pPr>
              <w:pStyle w:val="TableParagraph"/>
              <w:keepLines/>
              <w:widowControl/>
              <w:jc w:val="center"/>
              <w:rPr>
                <w:rFonts w:ascii="Times New Roman"/>
                <w:sz w:val="18"/>
                <w:szCs w:val="20"/>
              </w:rPr>
            </w:pPr>
            <w:r>
              <w:rPr>
                <w:rFonts w:ascii="Times New Roman"/>
                <w:sz w:val="18"/>
                <w:szCs w:val="20"/>
              </w:rPr>
              <w:t>-</w:t>
            </w:r>
          </w:p>
        </w:tc>
        <w:tc>
          <w:tcPr>
            <w:tcW w:w="3296" w:type="dxa"/>
          </w:tcPr>
          <w:p w14:paraId="6510679D" w14:textId="2206861E" w:rsidR="005E3970" w:rsidRDefault="00530039" w:rsidP="005A69A8">
            <w:pPr>
              <w:pStyle w:val="TableParagraph"/>
              <w:keepLines/>
              <w:widowControl/>
              <w:rPr>
                <w:rFonts w:ascii="Times New Roman"/>
                <w:sz w:val="18"/>
                <w:szCs w:val="18"/>
              </w:rPr>
            </w:pPr>
            <w:r>
              <w:rPr>
                <w:rFonts w:ascii="Times New Roman"/>
                <w:sz w:val="18"/>
                <w:szCs w:val="18"/>
              </w:rPr>
              <w:t>We</w:t>
            </w:r>
            <w:r>
              <w:rPr>
                <w:rFonts w:ascii="Times New Roman"/>
                <w:sz w:val="18"/>
                <w:szCs w:val="18"/>
              </w:rPr>
              <w:t>’</w:t>
            </w:r>
            <w:r>
              <w:rPr>
                <w:rFonts w:ascii="Times New Roman"/>
                <w:sz w:val="18"/>
                <w:szCs w:val="18"/>
              </w:rPr>
              <w:t>v</w:t>
            </w:r>
            <w:r w:rsidR="002470FA">
              <w:rPr>
                <w:rFonts w:ascii="Times New Roman"/>
                <w:sz w:val="18"/>
                <w:szCs w:val="18"/>
              </w:rPr>
              <w:t xml:space="preserve">e selected </w:t>
            </w:r>
            <w:r w:rsidR="002470FA">
              <w:rPr>
                <w:rFonts w:ascii="Times New Roman"/>
                <w:sz w:val="18"/>
                <w:szCs w:val="18"/>
              </w:rPr>
              <w:t>“</w:t>
            </w:r>
            <w:r w:rsidR="002470FA">
              <w:rPr>
                <w:rFonts w:ascii="Times New Roman"/>
                <w:sz w:val="18"/>
                <w:szCs w:val="18"/>
              </w:rPr>
              <w:t>-</w:t>
            </w:r>
            <w:r w:rsidR="002470FA">
              <w:rPr>
                <w:rFonts w:ascii="Times New Roman"/>
                <w:sz w:val="18"/>
                <w:szCs w:val="18"/>
              </w:rPr>
              <w:t>“</w:t>
            </w:r>
            <w:r w:rsidR="002470FA">
              <w:rPr>
                <w:rFonts w:ascii="Times New Roman"/>
                <w:sz w:val="18"/>
                <w:szCs w:val="18"/>
              </w:rPr>
              <w:t xml:space="preserve"> here because there are currently </w:t>
            </w:r>
            <w:r w:rsidR="007348A5">
              <w:rPr>
                <w:rFonts w:ascii="Times New Roman"/>
                <w:sz w:val="18"/>
                <w:szCs w:val="18"/>
              </w:rPr>
              <w:t>earnings adjustments</w:t>
            </w:r>
            <w:r w:rsidR="008F4C51">
              <w:rPr>
                <w:rFonts w:ascii="Times New Roman"/>
                <w:sz w:val="18"/>
                <w:szCs w:val="18"/>
              </w:rPr>
              <w:t xml:space="preserve"> opportunities</w:t>
            </w:r>
            <w:r w:rsidR="007348A5">
              <w:rPr>
                <w:rFonts w:ascii="Times New Roman"/>
                <w:sz w:val="18"/>
                <w:szCs w:val="18"/>
              </w:rPr>
              <w:t xml:space="preserve"> </w:t>
            </w:r>
            <w:r w:rsidR="00E26254">
              <w:rPr>
                <w:rFonts w:ascii="Times New Roman"/>
                <w:sz w:val="18"/>
                <w:szCs w:val="18"/>
              </w:rPr>
              <w:t xml:space="preserve">related to: reliability, </w:t>
            </w:r>
            <w:r w:rsidR="000E52BF">
              <w:rPr>
                <w:rFonts w:ascii="Times New Roman"/>
                <w:sz w:val="18"/>
                <w:szCs w:val="18"/>
              </w:rPr>
              <w:t>generating plant performance, customer service, and operating efficiency.</w:t>
            </w:r>
            <w:r w:rsidR="008F4C51">
              <w:rPr>
                <w:rFonts w:ascii="Times New Roman"/>
                <w:sz w:val="18"/>
                <w:szCs w:val="18"/>
              </w:rPr>
              <w:t xml:space="preserve"> Th</w:t>
            </w:r>
            <w:r w:rsidR="001E2DEC">
              <w:rPr>
                <w:rFonts w:ascii="Times New Roman"/>
                <w:sz w:val="18"/>
                <w:szCs w:val="18"/>
              </w:rPr>
              <w:t>is backward-looking earnings adjustment</w:t>
            </w:r>
            <w:r w:rsidR="008F4C51">
              <w:rPr>
                <w:rFonts w:ascii="Times New Roman"/>
                <w:sz w:val="18"/>
                <w:szCs w:val="18"/>
              </w:rPr>
              <w:t xml:space="preserve"> do</w:t>
            </w:r>
            <w:r w:rsidR="001E2DEC">
              <w:rPr>
                <w:rFonts w:ascii="Times New Roman"/>
                <w:sz w:val="18"/>
                <w:szCs w:val="18"/>
              </w:rPr>
              <w:t>es</w:t>
            </w:r>
            <w:r w:rsidR="008F4C51">
              <w:rPr>
                <w:rFonts w:ascii="Times New Roman"/>
                <w:sz w:val="18"/>
                <w:szCs w:val="18"/>
              </w:rPr>
              <w:t xml:space="preserve"> not seem to impact the achievement of even the modest outcomes currently associated with each category, but certainly </w:t>
            </w:r>
            <w:r w:rsidR="001E2DEC">
              <w:rPr>
                <w:rFonts w:ascii="Times New Roman"/>
                <w:sz w:val="18"/>
                <w:szCs w:val="18"/>
              </w:rPr>
              <w:t xml:space="preserve">does not </w:t>
            </w:r>
            <w:r w:rsidR="00FD4C59">
              <w:rPr>
                <w:rFonts w:ascii="Times New Roman"/>
                <w:sz w:val="18"/>
                <w:szCs w:val="18"/>
              </w:rPr>
              <w:t>seem to impact the achievement of peak demand reduction</w:t>
            </w:r>
            <w:r w:rsidR="005E3970">
              <w:rPr>
                <w:rFonts w:ascii="Times New Roman"/>
                <w:sz w:val="18"/>
                <w:szCs w:val="18"/>
              </w:rPr>
              <w:t>.</w:t>
            </w:r>
          </w:p>
          <w:p w14:paraId="2D127C3B" w14:textId="77777777" w:rsidR="005E3970" w:rsidRDefault="005E3970" w:rsidP="005A69A8">
            <w:pPr>
              <w:pStyle w:val="TableParagraph"/>
              <w:keepLines/>
              <w:widowControl/>
              <w:rPr>
                <w:rFonts w:ascii="Times New Roman"/>
                <w:sz w:val="18"/>
                <w:szCs w:val="18"/>
              </w:rPr>
            </w:pPr>
          </w:p>
          <w:p w14:paraId="053409F0" w14:textId="0C5B18F2" w:rsidR="002017F5" w:rsidRPr="00AB56BB" w:rsidRDefault="005E3970" w:rsidP="007C6105">
            <w:pPr>
              <w:pStyle w:val="TableParagraph"/>
              <w:keepLines/>
              <w:widowControl/>
              <w:rPr>
                <w:rFonts w:ascii="Times New Roman"/>
                <w:sz w:val="18"/>
                <w:szCs w:val="18"/>
              </w:rPr>
            </w:pPr>
            <w:r>
              <w:rPr>
                <w:rFonts w:ascii="Times New Roman"/>
                <w:sz w:val="18"/>
                <w:szCs w:val="18"/>
              </w:rPr>
              <w:t>Specifically,</w:t>
            </w:r>
            <w:r w:rsidR="000B061E">
              <w:rPr>
                <w:rFonts w:ascii="Times New Roman"/>
                <w:sz w:val="18"/>
                <w:szCs w:val="18"/>
              </w:rPr>
              <w:t xml:space="preserve"> according to Staff</w:t>
            </w:r>
            <w:r w:rsidR="000B061E">
              <w:rPr>
                <w:rFonts w:ascii="Times New Roman"/>
                <w:sz w:val="18"/>
                <w:szCs w:val="18"/>
              </w:rPr>
              <w:t>’</w:t>
            </w:r>
            <w:r w:rsidR="000B061E">
              <w:rPr>
                <w:rFonts w:ascii="Times New Roman"/>
                <w:sz w:val="18"/>
                <w:szCs w:val="18"/>
              </w:rPr>
              <w:t>s Dec. 2024 presentation,</w:t>
            </w:r>
            <w:r>
              <w:rPr>
                <w:rFonts w:ascii="Times New Roman"/>
                <w:sz w:val="18"/>
                <w:szCs w:val="18"/>
              </w:rPr>
              <w:t xml:space="preserve"> energy efficiency achievements are tied to the category</w:t>
            </w:r>
            <w:r w:rsidR="000B061E">
              <w:rPr>
                <w:rFonts w:ascii="Times New Roman"/>
                <w:sz w:val="18"/>
                <w:szCs w:val="18"/>
              </w:rPr>
              <w:t xml:space="preserve"> operating efficiency, under </w:t>
            </w:r>
            <w:r w:rsidR="00626608">
              <w:rPr>
                <w:rFonts w:ascii="Times New Roman"/>
                <w:sz w:val="18"/>
                <w:szCs w:val="18"/>
              </w:rPr>
              <w:t>Energy</w:t>
            </w:r>
            <w:r w:rsidR="000B061E">
              <w:rPr>
                <w:rFonts w:ascii="Times New Roman"/>
                <w:sz w:val="18"/>
                <w:szCs w:val="18"/>
              </w:rPr>
              <w:t xml:space="preserve"> Efficiency</w:t>
            </w:r>
            <w:r w:rsidR="00626608">
              <w:rPr>
                <w:rFonts w:ascii="Times New Roman"/>
                <w:sz w:val="18"/>
                <w:szCs w:val="18"/>
              </w:rPr>
              <w:t>/RPS Compliance</w:t>
            </w:r>
            <w:r w:rsidR="000B061E">
              <w:rPr>
                <w:rFonts w:ascii="Times New Roman"/>
                <w:sz w:val="18"/>
                <w:szCs w:val="18"/>
              </w:rPr>
              <w:t>.</w:t>
            </w:r>
            <w:r w:rsidR="00626608">
              <w:rPr>
                <w:rFonts w:ascii="Times New Roman"/>
                <w:sz w:val="18"/>
                <w:szCs w:val="18"/>
              </w:rPr>
              <w:t xml:space="preserve"> While new benchmarks are being </w:t>
            </w:r>
            <w:r w:rsidR="004C22FC">
              <w:rPr>
                <w:rFonts w:ascii="Times New Roman"/>
                <w:sz w:val="18"/>
                <w:szCs w:val="18"/>
              </w:rPr>
              <w:t>developed, the</w:t>
            </w:r>
            <w:r w:rsidR="00626608">
              <w:rPr>
                <w:rFonts w:ascii="Times New Roman"/>
                <w:sz w:val="18"/>
                <w:szCs w:val="18"/>
              </w:rPr>
              <w:t xml:space="preserve"> utilities did not all meet the </w:t>
            </w:r>
            <w:r w:rsidR="004C22FC">
              <w:rPr>
                <w:rFonts w:ascii="Times New Roman"/>
                <w:sz w:val="18"/>
                <w:szCs w:val="18"/>
              </w:rPr>
              <w:t>initial benchmarks established, even with the incentive in place.</w:t>
            </w:r>
          </w:p>
        </w:tc>
        <w:tc>
          <w:tcPr>
            <w:tcW w:w="4534" w:type="dxa"/>
          </w:tcPr>
          <w:p w14:paraId="1DD8C14D" w14:textId="77777777" w:rsidR="007C6105" w:rsidRDefault="007C6105" w:rsidP="007C6105">
            <w:pPr>
              <w:pStyle w:val="TableParagraph"/>
              <w:keepLines/>
              <w:widowControl/>
              <w:rPr>
                <w:rFonts w:ascii="Times New Roman"/>
                <w:sz w:val="18"/>
                <w:szCs w:val="18"/>
              </w:rPr>
            </w:pPr>
            <w:r>
              <w:rPr>
                <w:rFonts w:ascii="Times New Roman"/>
                <w:sz w:val="18"/>
                <w:szCs w:val="18"/>
              </w:rPr>
              <w:t xml:space="preserve">While energy efficiency is related to decrease energy utilization generally and perhaps not specifically to a time of day reduction, it is the current example we have of an incentive meant to increase decreased usage that has not yielded the desired results across the board. </w:t>
            </w:r>
          </w:p>
          <w:p w14:paraId="1F7C6218" w14:textId="77777777" w:rsidR="007C6105" w:rsidRDefault="007C6105" w:rsidP="007C6105">
            <w:pPr>
              <w:pStyle w:val="TableParagraph"/>
              <w:keepLines/>
              <w:widowControl/>
              <w:rPr>
                <w:rFonts w:ascii="Times New Roman"/>
                <w:sz w:val="18"/>
                <w:szCs w:val="18"/>
              </w:rPr>
            </w:pPr>
          </w:p>
          <w:p w14:paraId="01CBF243" w14:textId="77777777" w:rsidR="007C6105" w:rsidRDefault="007C6105" w:rsidP="007C6105">
            <w:pPr>
              <w:pStyle w:val="TableParagraph"/>
              <w:keepLines/>
              <w:widowControl/>
              <w:rPr>
                <w:rFonts w:ascii="Times New Roman"/>
                <w:sz w:val="18"/>
                <w:szCs w:val="18"/>
              </w:rPr>
            </w:pPr>
            <w:r>
              <w:rPr>
                <w:rFonts w:ascii="Times New Roman"/>
                <w:sz w:val="18"/>
                <w:szCs w:val="18"/>
              </w:rPr>
              <w:t xml:space="preserve">This highlights the need to consider whether utilities should be incented to achieve what is already required by the law or whether incentives should only be attached to exceeded legal requirements. The latter seems most appropriate, as compliance with the law should not need to be incentivized.  </w:t>
            </w:r>
          </w:p>
          <w:p w14:paraId="386DF13D" w14:textId="77777777" w:rsidR="00AB56BB" w:rsidRPr="00AB56BB" w:rsidRDefault="00AB56BB" w:rsidP="00754FD1">
            <w:pPr>
              <w:pStyle w:val="TableParagraph"/>
              <w:keepLines/>
              <w:widowControl/>
              <w:rPr>
                <w:rFonts w:ascii="Times New Roman"/>
                <w:sz w:val="18"/>
                <w:szCs w:val="20"/>
              </w:rPr>
            </w:pPr>
          </w:p>
        </w:tc>
      </w:tr>
      <w:tr w:rsidR="00AB56BB" w:rsidRPr="00AB56BB" w14:paraId="694F2E9D" w14:textId="77777777" w:rsidTr="2539CAE0">
        <w:trPr>
          <w:trHeight w:val="302"/>
        </w:trPr>
        <w:tc>
          <w:tcPr>
            <w:tcW w:w="1945" w:type="dxa"/>
            <w:vAlign w:val="center"/>
          </w:tcPr>
          <w:p w14:paraId="74C1A3B5" w14:textId="41EC9DD7" w:rsidR="00AB56BB" w:rsidRPr="00AB56BB" w:rsidRDefault="00AB56BB" w:rsidP="005448D6">
            <w:pPr>
              <w:pStyle w:val="TableParagraph"/>
              <w:keepLines/>
              <w:widowControl/>
              <w:spacing w:line="266" w:lineRule="auto"/>
              <w:ind w:left="60"/>
              <w:rPr>
                <w:b/>
                <w:sz w:val="18"/>
                <w:szCs w:val="20"/>
              </w:rPr>
            </w:pPr>
            <w:r>
              <w:rPr>
                <w:b/>
                <w:sz w:val="18"/>
                <w:szCs w:val="20"/>
              </w:rPr>
              <w:t>ROE Determinations</w:t>
            </w:r>
          </w:p>
        </w:tc>
        <w:tc>
          <w:tcPr>
            <w:tcW w:w="2217" w:type="dxa"/>
          </w:tcPr>
          <w:p w14:paraId="43B25263" w14:textId="77777777" w:rsidR="00AB56BB" w:rsidRPr="00AB56BB" w:rsidRDefault="00AB56BB" w:rsidP="00754FD1">
            <w:pPr>
              <w:pStyle w:val="TableParagraph"/>
              <w:keepLines/>
              <w:widowControl/>
              <w:spacing w:before="98" w:line="232" w:lineRule="auto"/>
              <w:ind w:left="104" w:right="149"/>
              <w:rPr>
                <w:sz w:val="18"/>
                <w:szCs w:val="20"/>
              </w:rPr>
            </w:pPr>
          </w:p>
        </w:tc>
        <w:tc>
          <w:tcPr>
            <w:tcW w:w="971" w:type="dxa"/>
            <w:gridSpan w:val="2"/>
          </w:tcPr>
          <w:p w14:paraId="2B0F6EB7" w14:textId="4D8F2326" w:rsidR="00AB56BB" w:rsidRPr="00AB56BB" w:rsidRDefault="00C51784" w:rsidP="006D7164">
            <w:pPr>
              <w:pStyle w:val="TableParagraph"/>
              <w:keepLines/>
              <w:widowControl/>
              <w:jc w:val="center"/>
              <w:rPr>
                <w:rFonts w:ascii="Times New Roman"/>
                <w:sz w:val="18"/>
                <w:szCs w:val="20"/>
              </w:rPr>
            </w:pPr>
            <w:r>
              <w:rPr>
                <w:rFonts w:ascii="Times New Roman"/>
                <w:sz w:val="18"/>
                <w:szCs w:val="20"/>
              </w:rPr>
              <w:t>-</w:t>
            </w:r>
          </w:p>
        </w:tc>
        <w:tc>
          <w:tcPr>
            <w:tcW w:w="3296" w:type="dxa"/>
          </w:tcPr>
          <w:p w14:paraId="0A1738A7" w14:textId="4044F422" w:rsidR="00AB56BB" w:rsidRPr="00AB56BB" w:rsidRDefault="00CA3AEA" w:rsidP="00754FD1">
            <w:pPr>
              <w:pStyle w:val="TableParagraph"/>
              <w:keepLines/>
              <w:widowControl/>
              <w:rPr>
                <w:rFonts w:ascii="Times New Roman"/>
                <w:sz w:val="18"/>
                <w:szCs w:val="20"/>
              </w:rPr>
            </w:pPr>
            <w:r>
              <w:rPr>
                <w:rFonts w:ascii="Times New Roman"/>
                <w:sz w:val="18"/>
                <w:szCs w:val="20"/>
              </w:rPr>
              <w:t xml:space="preserve">Currently, the historic construct of ROE determinations lends itself to gold-platting investments and </w:t>
            </w:r>
            <w:r w:rsidR="00FA732E">
              <w:rPr>
                <w:rFonts w:ascii="Times New Roman"/>
                <w:sz w:val="18"/>
                <w:szCs w:val="20"/>
              </w:rPr>
              <w:t>seeking ever increasing load growth to justify capital investments</w:t>
            </w:r>
            <w:r w:rsidR="00EA2A98">
              <w:rPr>
                <w:rFonts w:ascii="Times New Roman"/>
                <w:sz w:val="18"/>
                <w:szCs w:val="20"/>
              </w:rPr>
              <w:t xml:space="preserve"> in things like expensive generation resources. </w:t>
            </w:r>
            <w:r w:rsidR="00FA732E">
              <w:rPr>
                <w:rFonts w:ascii="Times New Roman"/>
                <w:sz w:val="18"/>
                <w:szCs w:val="20"/>
              </w:rPr>
              <w:t>This actively disincentivizes reducing load</w:t>
            </w:r>
            <w:r w:rsidR="00EA2A98">
              <w:rPr>
                <w:rFonts w:ascii="Times New Roman"/>
                <w:sz w:val="18"/>
                <w:szCs w:val="20"/>
              </w:rPr>
              <w:t xml:space="preserve">, maximizing cost savings, and limiting unnecessary capital investments through alternative resource procurement pathways like </w:t>
            </w:r>
            <w:r w:rsidR="001C341F">
              <w:rPr>
                <w:rFonts w:ascii="Times New Roman"/>
                <w:sz w:val="18"/>
                <w:szCs w:val="20"/>
              </w:rPr>
              <w:t xml:space="preserve">power purchase agreements. </w:t>
            </w:r>
          </w:p>
        </w:tc>
        <w:tc>
          <w:tcPr>
            <w:tcW w:w="4534" w:type="dxa"/>
          </w:tcPr>
          <w:p w14:paraId="1098E37F" w14:textId="77777777" w:rsidR="00AB56BB" w:rsidRDefault="009D3FF2" w:rsidP="00754FD1">
            <w:pPr>
              <w:pStyle w:val="TableParagraph"/>
              <w:keepLines/>
              <w:widowControl/>
              <w:rPr>
                <w:rFonts w:ascii="Times New Roman"/>
                <w:sz w:val="18"/>
                <w:szCs w:val="20"/>
              </w:rPr>
            </w:pPr>
            <w:r>
              <w:rPr>
                <w:rFonts w:ascii="Times New Roman"/>
                <w:sz w:val="18"/>
                <w:szCs w:val="20"/>
              </w:rPr>
              <w:t xml:space="preserve">Reconsidering </w:t>
            </w:r>
            <w:r w:rsidR="008F33F0">
              <w:rPr>
                <w:rFonts w:ascii="Times New Roman"/>
                <w:sz w:val="18"/>
                <w:szCs w:val="20"/>
              </w:rPr>
              <w:t xml:space="preserve">how the ROE is calculated and what it is set at could influence </w:t>
            </w:r>
            <w:r w:rsidR="0027459D">
              <w:rPr>
                <w:rFonts w:ascii="Times New Roman"/>
                <w:sz w:val="18"/>
                <w:szCs w:val="20"/>
              </w:rPr>
              <w:t>a utility</w:t>
            </w:r>
            <w:r w:rsidR="0027459D">
              <w:rPr>
                <w:rFonts w:ascii="Times New Roman"/>
                <w:sz w:val="18"/>
                <w:szCs w:val="20"/>
              </w:rPr>
              <w:t>’</w:t>
            </w:r>
            <w:r w:rsidR="0027459D">
              <w:rPr>
                <w:rFonts w:ascii="Times New Roman"/>
                <w:sz w:val="18"/>
                <w:szCs w:val="20"/>
              </w:rPr>
              <w:t>s propensity to overinvest and therefore might encourage pursuit of cost saving</w:t>
            </w:r>
            <w:r w:rsidR="00B64F8D">
              <w:rPr>
                <w:rFonts w:ascii="Times New Roman"/>
                <w:sz w:val="18"/>
                <w:szCs w:val="20"/>
              </w:rPr>
              <w:t xml:space="preserve"> measures, like peak load reduction to</w:t>
            </w:r>
            <w:r w:rsidR="00A3723B">
              <w:rPr>
                <w:rFonts w:ascii="Times New Roman"/>
                <w:sz w:val="18"/>
                <w:szCs w:val="20"/>
              </w:rPr>
              <w:t xml:space="preserve">, especially if the overall regulatory construct was also reimagined to focus on optimizing </w:t>
            </w:r>
            <w:r w:rsidR="004D30E4">
              <w:rPr>
                <w:rFonts w:ascii="Times New Roman"/>
                <w:sz w:val="18"/>
                <w:szCs w:val="20"/>
              </w:rPr>
              <w:t>clean and affordable options over expensive polluting ones.</w:t>
            </w:r>
          </w:p>
          <w:p w14:paraId="69842058" w14:textId="77777777" w:rsidR="00B03278" w:rsidRDefault="00B03278" w:rsidP="00754FD1">
            <w:pPr>
              <w:pStyle w:val="TableParagraph"/>
              <w:keepLines/>
              <w:widowControl/>
              <w:rPr>
                <w:rFonts w:ascii="Times New Roman"/>
                <w:sz w:val="18"/>
                <w:szCs w:val="20"/>
              </w:rPr>
            </w:pPr>
          </w:p>
          <w:p w14:paraId="37E50DCC" w14:textId="215BA670" w:rsidR="004D30E4" w:rsidRPr="00AB56BB" w:rsidRDefault="00B03278" w:rsidP="00754FD1">
            <w:pPr>
              <w:pStyle w:val="TableParagraph"/>
              <w:keepLines/>
              <w:widowControl/>
              <w:rPr>
                <w:rFonts w:ascii="Times New Roman"/>
                <w:sz w:val="18"/>
                <w:szCs w:val="20"/>
              </w:rPr>
            </w:pPr>
            <w:r>
              <w:rPr>
                <w:rFonts w:ascii="Times New Roman"/>
                <w:sz w:val="18"/>
                <w:szCs w:val="20"/>
              </w:rPr>
              <w:t>For possible discussion is this paper</w:t>
            </w:r>
            <w:r w:rsidR="004D30E4">
              <w:rPr>
                <w:rFonts w:ascii="Times New Roman"/>
                <w:sz w:val="18"/>
                <w:szCs w:val="20"/>
              </w:rPr>
              <w:t xml:space="preserve"> that offers suggestions on ROE </w:t>
            </w:r>
            <w:r>
              <w:rPr>
                <w:rFonts w:ascii="Times New Roman"/>
                <w:sz w:val="18"/>
                <w:szCs w:val="20"/>
              </w:rPr>
              <w:t xml:space="preserve">fixes: </w:t>
            </w:r>
            <w:hyperlink r:id="rId9" w:history="1">
              <w:r w:rsidRPr="00B03278">
                <w:rPr>
                  <w:rStyle w:val="Hyperlink"/>
                  <w:rFonts w:ascii="Times New Roman"/>
                  <w:sz w:val="18"/>
                  <w:szCs w:val="20"/>
                </w:rPr>
                <w:t>Rate of Return Equals Cost of Capital: A Simple, Fair Formula to Stop Investor-Owned Utilities From Overcharging the Public - American Economic Liberties Project</w:t>
              </w:r>
            </w:hyperlink>
          </w:p>
        </w:tc>
      </w:tr>
      <w:tr w:rsidR="00170B8D" w:rsidRPr="00AB56BB" w14:paraId="6BCED2E3" w14:textId="77777777" w:rsidTr="2539CAE0">
        <w:tc>
          <w:tcPr>
            <w:tcW w:w="1945" w:type="dxa"/>
            <w:vMerge w:val="restart"/>
            <w:vAlign w:val="center"/>
          </w:tcPr>
          <w:p w14:paraId="59A8BB57" w14:textId="17ACB13E" w:rsidR="00170B8D" w:rsidRDefault="00170B8D" w:rsidP="00164208">
            <w:pPr>
              <w:pStyle w:val="TableParagraph"/>
              <w:keepLines/>
              <w:widowControl/>
              <w:spacing w:line="268" w:lineRule="auto"/>
              <w:ind w:left="60"/>
              <w:rPr>
                <w:b/>
                <w:spacing w:val="-2"/>
                <w:sz w:val="18"/>
                <w:szCs w:val="20"/>
              </w:rPr>
            </w:pPr>
            <w:r>
              <w:rPr>
                <w:b/>
                <w:spacing w:val="-2"/>
                <w:sz w:val="18"/>
                <w:szCs w:val="20"/>
              </w:rPr>
              <w:t>Rate Adjustment Clauses (i.e., trackers)</w:t>
            </w:r>
          </w:p>
        </w:tc>
        <w:tc>
          <w:tcPr>
            <w:tcW w:w="2217" w:type="dxa"/>
          </w:tcPr>
          <w:p w14:paraId="3927CDCD" w14:textId="783AE2E5" w:rsidR="00170B8D" w:rsidRDefault="0028509B" w:rsidP="00754FD1">
            <w:pPr>
              <w:pStyle w:val="TableParagraph"/>
              <w:keepLines/>
              <w:widowControl/>
              <w:spacing w:line="207" w:lineRule="exact"/>
              <w:ind w:left="104"/>
              <w:rPr>
                <w:sz w:val="18"/>
                <w:szCs w:val="20"/>
              </w:rPr>
            </w:pPr>
            <w:r w:rsidRPr="0028509B">
              <w:rPr>
                <w:sz w:val="18"/>
                <w:szCs w:val="20"/>
              </w:rPr>
              <w:t>RACs overall (general assessment of the use of RACs)</w:t>
            </w:r>
          </w:p>
        </w:tc>
        <w:tc>
          <w:tcPr>
            <w:tcW w:w="971" w:type="dxa"/>
            <w:gridSpan w:val="2"/>
          </w:tcPr>
          <w:p w14:paraId="470EF91B" w14:textId="239A69AC" w:rsidR="00170B8D" w:rsidRPr="00AB56BB" w:rsidRDefault="0055798F" w:rsidP="006D7164">
            <w:pPr>
              <w:pStyle w:val="TableParagraph"/>
              <w:keepLines/>
              <w:widowControl/>
              <w:jc w:val="center"/>
              <w:rPr>
                <w:rFonts w:ascii="Times New Roman"/>
                <w:sz w:val="18"/>
                <w:szCs w:val="20"/>
              </w:rPr>
            </w:pPr>
            <w:r>
              <w:rPr>
                <w:rFonts w:ascii="Times New Roman"/>
                <w:sz w:val="18"/>
                <w:szCs w:val="20"/>
              </w:rPr>
              <w:t>-</w:t>
            </w:r>
          </w:p>
        </w:tc>
        <w:tc>
          <w:tcPr>
            <w:tcW w:w="3296" w:type="dxa"/>
          </w:tcPr>
          <w:p w14:paraId="24774D2A" w14:textId="597FBC72" w:rsidR="00170B8D" w:rsidRPr="073D5F75" w:rsidRDefault="0055798F" w:rsidP="00754FD1">
            <w:pPr>
              <w:pStyle w:val="TableParagraph"/>
              <w:keepLines/>
              <w:widowControl/>
              <w:rPr>
                <w:rFonts w:ascii="Times New Roman"/>
                <w:sz w:val="18"/>
                <w:szCs w:val="18"/>
              </w:rPr>
            </w:pPr>
            <w:r>
              <w:rPr>
                <w:rFonts w:ascii="Times New Roman"/>
                <w:sz w:val="18"/>
                <w:szCs w:val="18"/>
              </w:rPr>
              <w:t>RACs</w:t>
            </w:r>
            <w:r w:rsidR="006B511A">
              <w:rPr>
                <w:rFonts w:ascii="Times New Roman"/>
                <w:sz w:val="18"/>
                <w:szCs w:val="18"/>
              </w:rPr>
              <w:t xml:space="preserve"> here in Virginia tend to </w:t>
            </w:r>
            <w:r w:rsidR="000746B1">
              <w:rPr>
                <w:rFonts w:ascii="Times New Roman"/>
                <w:sz w:val="18"/>
                <w:szCs w:val="18"/>
              </w:rPr>
              <w:t>di</w:t>
            </w:r>
            <w:r>
              <w:rPr>
                <w:rFonts w:ascii="Times New Roman"/>
                <w:sz w:val="18"/>
                <w:szCs w:val="18"/>
              </w:rPr>
              <w:t xml:space="preserve">sincentivize </w:t>
            </w:r>
            <w:r w:rsidR="000746B1">
              <w:rPr>
                <w:rFonts w:ascii="Times New Roman"/>
                <w:sz w:val="18"/>
                <w:szCs w:val="18"/>
              </w:rPr>
              <w:t xml:space="preserve">cost containment </w:t>
            </w:r>
            <w:r w:rsidR="00391AF2">
              <w:rPr>
                <w:rFonts w:ascii="Times New Roman"/>
                <w:sz w:val="18"/>
                <w:szCs w:val="18"/>
              </w:rPr>
              <w:t xml:space="preserve">not just </w:t>
            </w:r>
            <w:r w:rsidR="000746B1">
              <w:rPr>
                <w:rFonts w:ascii="Times New Roman"/>
                <w:sz w:val="18"/>
                <w:szCs w:val="18"/>
              </w:rPr>
              <w:t>because they allow the utility to recover costs outside of what</w:t>
            </w:r>
            <w:r w:rsidR="000746B1">
              <w:rPr>
                <w:rFonts w:ascii="Times New Roman"/>
                <w:sz w:val="18"/>
                <w:szCs w:val="18"/>
              </w:rPr>
              <w:t>’</w:t>
            </w:r>
            <w:r w:rsidR="000746B1">
              <w:rPr>
                <w:rFonts w:ascii="Times New Roman"/>
                <w:sz w:val="18"/>
                <w:szCs w:val="18"/>
              </w:rPr>
              <w:t>s captured in base rates</w:t>
            </w:r>
            <w:r w:rsidR="00391AF2">
              <w:rPr>
                <w:rFonts w:ascii="Times New Roman"/>
                <w:sz w:val="18"/>
                <w:szCs w:val="18"/>
              </w:rPr>
              <w:t>, but also because the</w:t>
            </w:r>
            <w:r w:rsidR="00391AF2">
              <w:rPr>
                <w:rFonts w:ascii="Times New Roman"/>
                <w:sz w:val="18"/>
                <w:szCs w:val="18"/>
              </w:rPr>
              <w:t xml:space="preserve"> rider structure and utilization in Virgina provides rider recovery for specific projects, </w:t>
            </w:r>
            <w:r w:rsidR="00391AF2">
              <w:rPr>
                <w:rFonts w:ascii="Times New Roman"/>
                <w:sz w:val="18"/>
                <w:szCs w:val="18"/>
              </w:rPr>
              <w:t>cost which would in other jurisdictions often fall into base rates</w:t>
            </w:r>
            <w:r w:rsidR="00391AF2">
              <w:rPr>
                <w:rFonts w:ascii="Times New Roman"/>
                <w:sz w:val="18"/>
                <w:szCs w:val="18"/>
              </w:rPr>
              <w:t xml:space="preserve">. </w:t>
            </w:r>
            <w:r w:rsidR="000746B1">
              <w:rPr>
                <w:rFonts w:ascii="Times New Roman"/>
                <w:sz w:val="18"/>
                <w:szCs w:val="18"/>
              </w:rPr>
              <w:t xml:space="preserve"> Generally </w:t>
            </w:r>
            <w:r w:rsidR="000746B1">
              <w:rPr>
                <w:rFonts w:ascii="Times New Roman"/>
                <w:sz w:val="18"/>
                <w:szCs w:val="18"/>
              </w:rPr>
              <w:t>“</w:t>
            </w:r>
            <w:r w:rsidR="000746B1">
              <w:rPr>
                <w:rFonts w:ascii="Times New Roman"/>
                <w:sz w:val="18"/>
                <w:szCs w:val="18"/>
              </w:rPr>
              <w:t>riders</w:t>
            </w:r>
            <w:r w:rsidR="000746B1">
              <w:rPr>
                <w:rFonts w:ascii="Times New Roman"/>
                <w:sz w:val="18"/>
                <w:szCs w:val="18"/>
              </w:rPr>
              <w:t>”</w:t>
            </w:r>
            <w:r w:rsidR="000746B1">
              <w:rPr>
                <w:rFonts w:ascii="Times New Roman"/>
                <w:sz w:val="18"/>
                <w:szCs w:val="18"/>
              </w:rPr>
              <w:t xml:space="preserve"> as RACs are often called, are meant to account for unforeseen costs that were reasonabl</w:t>
            </w:r>
            <w:r w:rsidR="00A46B91">
              <w:rPr>
                <w:rFonts w:ascii="Times New Roman"/>
                <w:sz w:val="18"/>
                <w:szCs w:val="18"/>
              </w:rPr>
              <w:t>y</w:t>
            </w:r>
            <w:r w:rsidR="000746B1">
              <w:rPr>
                <w:rFonts w:ascii="Times New Roman"/>
                <w:sz w:val="18"/>
                <w:szCs w:val="18"/>
              </w:rPr>
              <w:t xml:space="preserve"> incurred</w:t>
            </w:r>
            <w:r w:rsidR="005F172D">
              <w:rPr>
                <w:rFonts w:ascii="Times New Roman"/>
                <w:sz w:val="18"/>
                <w:szCs w:val="18"/>
              </w:rPr>
              <w:t xml:space="preserve"> as opposed to being used to recover for planned costs, like building a power plant.</w:t>
            </w:r>
          </w:p>
        </w:tc>
        <w:tc>
          <w:tcPr>
            <w:tcW w:w="4534" w:type="dxa"/>
          </w:tcPr>
          <w:p w14:paraId="3925707E" w14:textId="77777777" w:rsidR="00170B8D" w:rsidRDefault="00A81610" w:rsidP="00754FD1">
            <w:pPr>
              <w:pStyle w:val="TableParagraph"/>
              <w:keepLines/>
              <w:widowControl/>
              <w:rPr>
                <w:rFonts w:ascii="Times New Roman"/>
                <w:sz w:val="18"/>
                <w:szCs w:val="18"/>
              </w:rPr>
            </w:pPr>
            <w:r>
              <w:rPr>
                <w:rFonts w:ascii="Times New Roman"/>
                <w:sz w:val="18"/>
                <w:szCs w:val="18"/>
              </w:rPr>
              <w:t xml:space="preserve">As </w:t>
            </w:r>
            <w:r w:rsidR="005F172D">
              <w:rPr>
                <w:rFonts w:ascii="Times New Roman"/>
                <w:sz w:val="18"/>
                <w:szCs w:val="18"/>
              </w:rPr>
              <w:t xml:space="preserve">this </w:t>
            </w:r>
            <w:r w:rsidR="0025376A">
              <w:rPr>
                <w:rFonts w:ascii="Times New Roman"/>
                <w:sz w:val="18"/>
                <w:szCs w:val="18"/>
              </w:rPr>
              <w:t>RAC structure is the default here</w:t>
            </w:r>
            <w:r>
              <w:rPr>
                <w:rFonts w:ascii="Times New Roman"/>
                <w:sz w:val="18"/>
                <w:szCs w:val="18"/>
              </w:rPr>
              <w:t>, this structure disincents minimizing unnecessary investments that could have been avoided through more cost conscious planning that prioritizes peak demand reduction, clean energy, load flexibility, and optimizing existing infrastructure with things like grid enhancing technologies.</w:t>
            </w:r>
          </w:p>
          <w:p w14:paraId="3D401AAF" w14:textId="77777777" w:rsidR="0025376A" w:rsidRDefault="0025376A" w:rsidP="00754FD1">
            <w:pPr>
              <w:pStyle w:val="TableParagraph"/>
              <w:keepLines/>
              <w:widowControl/>
              <w:rPr>
                <w:rFonts w:ascii="Times New Roman"/>
                <w:sz w:val="18"/>
                <w:szCs w:val="18"/>
              </w:rPr>
            </w:pPr>
          </w:p>
          <w:p w14:paraId="0FD7FB42" w14:textId="46895860" w:rsidR="0025376A" w:rsidRDefault="00080720" w:rsidP="00754FD1">
            <w:pPr>
              <w:pStyle w:val="TableParagraph"/>
              <w:keepLines/>
              <w:widowControl/>
              <w:rPr>
                <w:rFonts w:ascii="Times New Roman"/>
                <w:sz w:val="18"/>
                <w:szCs w:val="20"/>
              </w:rPr>
            </w:pPr>
            <w:r>
              <w:rPr>
                <w:rFonts w:ascii="Times New Roman"/>
                <w:sz w:val="18"/>
                <w:szCs w:val="20"/>
              </w:rPr>
              <w:t xml:space="preserve">Instead of evaluating each category below, it might be worth simply noting </w:t>
            </w:r>
            <w:r w:rsidR="00C914D6">
              <w:rPr>
                <w:rFonts w:ascii="Times New Roman"/>
                <w:sz w:val="18"/>
                <w:szCs w:val="20"/>
              </w:rPr>
              <w:t xml:space="preserve">a need to evaluate whether utilizing the RACS available would collectively tend toward achieving </w:t>
            </w:r>
            <w:r w:rsidR="00156AD0">
              <w:rPr>
                <w:rFonts w:ascii="Times New Roman"/>
                <w:sz w:val="18"/>
                <w:szCs w:val="20"/>
              </w:rPr>
              <w:t>VCEA goals and mandates generally, as its to critique in the abstract when there are overlapping influences he</w:t>
            </w:r>
            <w:r w:rsidR="0025592F">
              <w:rPr>
                <w:rFonts w:ascii="Times New Roman"/>
                <w:sz w:val="18"/>
                <w:szCs w:val="20"/>
              </w:rPr>
              <w:t>re.</w:t>
            </w:r>
            <w:r w:rsidR="00424FA3">
              <w:rPr>
                <w:rFonts w:ascii="Times New Roman"/>
                <w:sz w:val="18"/>
                <w:szCs w:val="20"/>
              </w:rPr>
              <w:t xml:space="preserve"> </w:t>
            </w:r>
          </w:p>
        </w:tc>
      </w:tr>
      <w:tr w:rsidR="005A69A8" w:rsidRPr="00AB56BB" w14:paraId="08118783" w14:textId="77777777" w:rsidTr="2539CAE0">
        <w:tc>
          <w:tcPr>
            <w:tcW w:w="1945" w:type="dxa"/>
            <w:vMerge/>
            <w:vAlign w:val="center"/>
          </w:tcPr>
          <w:p w14:paraId="6DD780F7" w14:textId="77777777" w:rsidR="005A69A8" w:rsidRDefault="005A69A8" w:rsidP="00164208">
            <w:pPr>
              <w:pStyle w:val="TableParagraph"/>
              <w:keepLines/>
              <w:widowControl/>
              <w:spacing w:line="268" w:lineRule="auto"/>
              <w:ind w:left="60"/>
              <w:rPr>
                <w:b/>
                <w:spacing w:val="-2"/>
                <w:sz w:val="18"/>
                <w:szCs w:val="20"/>
              </w:rPr>
            </w:pPr>
          </w:p>
        </w:tc>
        <w:tc>
          <w:tcPr>
            <w:tcW w:w="2217" w:type="dxa"/>
          </w:tcPr>
          <w:p w14:paraId="7F7B84E7" w14:textId="21DC8B1E" w:rsidR="005A69A8" w:rsidRDefault="005A69A8" w:rsidP="00754FD1">
            <w:pPr>
              <w:pStyle w:val="TableParagraph"/>
              <w:keepLines/>
              <w:widowControl/>
              <w:spacing w:line="207" w:lineRule="exact"/>
              <w:ind w:left="104"/>
              <w:rPr>
                <w:sz w:val="18"/>
                <w:szCs w:val="20"/>
              </w:rPr>
            </w:pPr>
            <w:r>
              <w:rPr>
                <w:sz w:val="18"/>
                <w:szCs w:val="20"/>
              </w:rPr>
              <w:t xml:space="preserve">Fuel Cost </w:t>
            </w:r>
            <w:r w:rsidR="00AD1331">
              <w:rPr>
                <w:sz w:val="18"/>
                <w:szCs w:val="20"/>
              </w:rPr>
              <w:t>Recovery</w:t>
            </w:r>
          </w:p>
        </w:tc>
        <w:tc>
          <w:tcPr>
            <w:tcW w:w="971" w:type="dxa"/>
            <w:gridSpan w:val="2"/>
          </w:tcPr>
          <w:p w14:paraId="40A697D1" w14:textId="77777777" w:rsidR="005A69A8" w:rsidRPr="00AB56BB" w:rsidRDefault="005A69A8" w:rsidP="006D7164">
            <w:pPr>
              <w:pStyle w:val="TableParagraph"/>
              <w:keepLines/>
              <w:widowControl/>
              <w:jc w:val="center"/>
              <w:rPr>
                <w:rFonts w:ascii="Times New Roman"/>
                <w:sz w:val="18"/>
                <w:szCs w:val="20"/>
              </w:rPr>
            </w:pPr>
          </w:p>
        </w:tc>
        <w:tc>
          <w:tcPr>
            <w:tcW w:w="3296" w:type="dxa"/>
          </w:tcPr>
          <w:p w14:paraId="521AF72E" w14:textId="77777777" w:rsidR="005A69A8" w:rsidRPr="073D5F75" w:rsidRDefault="005A69A8" w:rsidP="00754FD1">
            <w:pPr>
              <w:pStyle w:val="TableParagraph"/>
              <w:keepLines/>
              <w:widowControl/>
              <w:rPr>
                <w:rFonts w:ascii="Times New Roman"/>
                <w:sz w:val="18"/>
                <w:szCs w:val="18"/>
              </w:rPr>
            </w:pPr>
          </w:p>
        </w:tc>
        <w:tc>
          <w:tcPr>
            <w:tcW w:w="4534" w:type="dxa"/>
          </w:tcPr>
          <w:p w14:paraId="6F8979C6" w14:textId="77777777" w:rsidR="005A69A8" w:rsidRDefault="005A69A8" w:rsidP="00754FD1">
            <w:pPr>
              <w:pStyle w:val="TableParagraph"/>
              <w:keepLines/>
              <w:widowControl/>
              <w:rPr>
                <w:rFonts w:ascii="Times New Roman"/>
                <w:sz w:val="18"/>
                <w:szCs w:val="20"/>
              </w:rPr>
            </w:pPr>
          </w:p>
        </w:tc>
      </w:tr>
      <w:tr w:rsidR="00170B8D" w:rsidRPr="00AB56BB" w14:paraId="0128EF7A" w14:textId="77777777" w:rsidTr="2539CAE0">
        <w:tc>
          <w:tcPr>
            <w:tcW w:w="1945" w:type="dxa"/>
            <w:vMerge/>
            <w:vAlign w:val="center"/>
          </w:tcPr>
          <w:p w14:paraId="027CD6D6" w14:textId="74AD2FDF" w:rsidR="00170B8D" w:rsidRPr="00AB56BB" w:rsidRDefault="00170B8D" w:rsidP="00164208">
            <w:pPr>
              <w:pStyle w:val="TableParagraph"/>
              <w:keepLines/>
              <w:widowControl/>
              <w:spacing w:line="268" w:lineRule="auto"/>
              <w:ind w:left="60"/>
              <w:rPr>
                <w:b/>
                <w:sz w:val="18"/>
                <w:szCs w:val="20"/>
              </w:rPr>
            </w:pPr>
          </w:p>
        </w:tc>
        <w:tc>
          <w:tcPr>
            <w:tcW w:w="2217" w:type="dxa"/>
          </w:tcPr>
          <w:p w14:paraId="66BE56D8" w14:textId="0F7B5E51" w:rsidR="00170B8D" w:rsidRPr="00AB56BB" w:rsidRDefault="00170B8D" w:rsidP="00754FD1">
            <w:pPr>
              <w:pStyle w:val="TableParagraph"/>
              <w:keepLines/>
              <w:widowControl/>
              <w:spacing w:line="207" w:lineRule="exact"/>
              <w:ind w:left="104"/>
              <w:rPr>
                <w:sz w:val="18"/>
                <w:szCs w:val="20"/>
              </w:rPr>
            </w:pPr>
            <w:r>
              <w:rPr>
                <w:sz w:val="18"/>
                <w:szCs w:val="20"/>
              </w:rPr>
              <w:t>Purchased power</w:t>
            </w:r>
          </w:p>
        </w:tc>
        <w:tc>
          <w:tcPr>
            <w:tcW w:w="971" w:type="dxa"/>
            <w:gridSpan w:val="2"/>
          </w:tcPr>
          <w:p w14:paraId="2F169326" w14:textId="77777777" w:rsidR="00170B8D" w:rsidRPr="00AB56BB" w:rsidRDefault="00170B8D" w:rsidP="006D7164">
            <w:pPr>
              <w:pStyle w:val="TableParagraph"/>
              <w:keepLines/>
              <w:widowControl/>
              <w:jc w:val="center"/>
              <w:rPr>
                <w:rFonts w:ascii="Times New Roman"/>
                <w:sz w:val="18"/>
                <w:szCs w:val="20"/>
              </w:rPr>
            </w:pPr>
          </w:p>
        </w:tc>
        <w:tc>
          <w:tcPr>
            <w:tcW w:w="3296" w:type="dxa"/>
          </w:tcPr>
          <w:p w14:paraId="1017D892" w14:textId="4A25AACC" w:rsidR="00170B8D" w:rsidRPr="00AB56BB" w:rsidRDefault="00170B8D" w:rsidP="00754FD1">
            <w:pPr>
              <w:pStyle w:val="TableParagraph"/>
              <w:keepLines/>
              <w:widowControl/>
              <w:rPr>
                <w:rFonts w:ascii="Times New Roman"/>
                <w:sz w:val="18"/>
                <w:szCs w:val="18"/>
              </w:rPr>
            </w:pPr>
          </w:p>
        </w:tc>
        <w:tc>
          <w:tcPr>
            <w:tcW w:w="4534" w:type="dxa"/>
          </w:tcPr>
          <w:p w14:paraId="7DDC229D" w14:textId="2CB9CA56" w:rsidR="00170B8D" w:rsidRPr="00AB56BB" w:rsidRDefault="00170B8D" w:rsidP="00754FD1">
            <w:pPr>
              <w:pStyle w:val="TableParagraph"/>
              <w:keepLines/>
              <w:widowControl/>
              <w:rPr>
                <w:rFonts w:ascii="Times New Roman"/>
                <w:sz w:val="18"/>
                <w:szCs w:val="20"/>
              </w:rPr>
            </w:pPr>
          </w:p>
        </w:tc>
      </w:tr>
      <w:tr w:rsidR="00170B8D" w:rsidRPr="00AB56BB" w14:paraId="2ABB39F3" w14:textId="77777777" w:rsidTr="2539CAE0">
        <w:tc>
          <w:tcPr>
            <w:tcW w:w="1945" w:type="dxa"/>
            <w:vMerge/>
          </w:tcPr>
          <w:p w14:paraId="584D7B53"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2F8108CE" w14:textId="4D4A0B41" w:rsidR="00170B8D" w:rsidRDefault="00170B8D" w:rsidP="00754FD1">
            <w:pPr>
              <w:pStyle w:val="TableParagraph"/>
              <w:keepLines/>
              <w:widowControl/>
              <w:spacing w:line="207" w:lineRule="exact"/>
              <w:ind w:left="104"/>
              <w:rPr>
                <w:sz w:val="18"/>
                <w:szCs w:val="20"/>
              </w:rPr>
            </w:pPr>
            <w:r>
              <w:rPr>
                <w:sz w:val="18"/>
                <w:szCs w:val="20"/>
              </w:rPr>
              <w:t>Demand response program costs</w:t>
            </w:r>
          </w:p>
        </w:tc>
        <w:tc>
          <w:tcPr>
            <w:tcW w:w="971" w:type="dxa"/>
            <w:gridSpan w:val="2"/>
          </w:tcPr>
          <w:p w14:paraId="043B8A20" w14:textId="77777777" w:rsidR="00170B8D" w:rsidRPr="00AB56BB" w:rsidRDefault="00170B8D" w:rsidP="006D7164">
            <w:pPr>
              <w:pStyle w:val="TableParagraph"/>
              <w:keepLines/>
              <w:widowControl/>
              <w:jc w:val="center"/>
              <w:rPr>
                <w:rFonts w:ascii="Times New Roman"/>
                <w:sz w:val="18"/>
                <w:szCs w:val="20"/>
              </w:rPr>
            </w:pPr>
          </w:p>
        </w:tc>
        <w:tc>
          <w:tcPr>
            <w:tcW w:w="3296" w:type="dxa"/>
          </w:tcPr>
          <w:p w14:paraId="7B2EA571" w14:textId="77777777" w:rsidR="00170B8D" w:rsidRPr="00AB56BB" w:rsidRDefault="00170B8D" w:rsidP="00754FD1">
            <w:pPr>
              <w:pStyle w:val="TableParagraph"/>
              <w:keepLines/>
              <w:widowControl/>
              <w:rPr>
                <w:rFonts w:ascii="Times New Roman"/>
                <w:sz w:val="18"/>
                <w:szCs w:val="20"/>
              </w:rPr>
            </w:pPr>
          </w:p>
        </w:tc>
        <w:tc>
          <w:tcPr>
            <w:tcW w:w="4534" w:type="dxa"/>
          </w:tcPr>
          <w:p w14:paraId="478DEC9E" w14:textId="77777777" w:rsidR="00170B8D" w:rsidRPr="00AB56BB" w:rsidRDefault="00170B8D" w:rsidP="00754FD1">
            <w:pPr>
              <w:pStyle w:val="TableParagraph"/>
              <w:keepLines/>
              <w:widowControl/>
              <w:rPr>
                <w:rFonts w:ascii="Times New Roman"/>
                <w:sz w:val="18"/>
                <w:szCs w:val="20"/>
              </w:rPr>
            </w:pPr>
          </w:p>
        </w:tc>
      </w:tr>
      <w:tr w:rsidR="00170B8D" w:rsidRPr="00AB56BB" w14:paraId="1A57C391" w14:textId="77777777" w:rsidTr="2539CAE0">
        <w:tc>
          <w:tcPr>
            <w:tcW w:w="1945" w:type="dxa"/>
            <w:vMerge/>
          </w:tcPr>
          <w:p w14:paraId="6EAE6640"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33959977" w14:textId="75DE3790" w:rsidR="00170B8D" w:rsidRDefault="00170B8D" w:rsidP="00754FD1">
            <w:pPr>
              <w:pStyle w:val="TableParagraph"/>
              <w:keepLines/>
              <w:widowControl/>
              <w:spacing w:line="207" w:lineRule="exact"/>
              <w:ind w:left="104"/>
              <w:rPr>
                <w:sz w:val="18"/>
                <w:szCs w:val="20"/>
              </w:rPr>
            </w:pPr>
            <w:r>
              <w:rPr>
                <w:sz w:val="18"/>
                <w:szCs w:val="20"/>
              </w:rPr>
              <w:t>RPS compliance costs</w:t>
            </w:r>
          </w:p>
        </w:tc>
        <w:tc>
          <w:tcPr>
            <w:tcW w:w="971" w:type="dxa"/>
            <w:gridSpan w:val="2"/>
          </w:tcPr>
          <w:p w14:paraId="0D2D3995" w14:textId="77777777" w:rsidR="00170B8D" w:rsidRPr="00AB56BB" w:rsidRDefault="00170B8D" w:rsidP="006D7164">
            <w:pPr>
              <w:pStyle w:val="TableParagraph"/>
              <w:keepLines/>
              <w:widowControl/>
              <w:jc w:val="center"/>
              <w:rPr>
                <w:rFonts w:ascii="Times New Roman"/>
                <w:sz w:val="18"/>
                <w:szCs w:val="20"/>
              </w:rPr>
            </w:pPr>
          </w:p>
        </w:tc>
        <w:tc>
          <w:tcPr>
            <w:tcW w:w="3296" w:type="dxa"/>
          </w:tcPr>
          <w:p w14:paraId="1B06CA52" w14:textId="77777777" w:rsidR="00170B8D" w:rsidRPr="00AB56BB" w:rsidRDefault="00170B8D" w:rsidP="00754FD1">
            <w:pPr>
              <w:pStyle w:val="TableParagraph"/>
              <w:keepLines/>
              <w:widowControl/>
              <w:rPr>
                <w:rFonts w:ascii="Times New Roman"/>
                <w:sz w:val="18"/>
                <w:szCs w:val="20"/>
              </w:rPr>
            </w:pPr>
          </w:p>
        </w:tc>
        <w:tc>
          <w:tcPr>
            <w:tcW w:w="4534" w:type="dxa"/>
          </w:tcPr>
          <w:p w14:paraId="6E8C6050" w14:textId="1975C398" w:rsidR="00170B8D" w:rsidRPr="00AB56BB" w:rsidRDefault="00170B8D" w:rsidP="00754FD1">
            <w:pPr>
              <w:pStyle w:val="TableParagraph"/>
              <w:keepLines/>
              <w:widowControl/>
              <w:rPr>
                <w:rFonts w:ascii="Times New Roman"/>
                <w:sz w:val="18"/>
                <w:szCs w:val="18"/>
              </w:rPr>
            </w:pPr>
          </w:p>
        </w:tc>
      </w:tr>
      <w:tr w:rsidR="00170B8D" w:rsidRPr="00AB56BB" w14:paraId="5DB56EE8" w14:textId="77777777" w:rsidTr="2539CAE0">
        <w:tc>
          <w:tcPr>
            <w:tcW w:w="1945" w:type="dxa"/>
            <w:vMerge/>
          </w:tcPr>
          <w:p w14:paraId="33F657BC"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0C909AC5" w14:textId="044418AD" w:rsidR="00170B8D" w:rsidRDefault="00170B8D" w:rsidP="00754FD1">
            <w:pPr>
              <w:pStyle w:val="TableParagraph"/>
              <w:keepLines/>
              <w:widowControl/>
              <w:spacing w:line="207" w:lineRule="exact"/>
              <w:ind w:left="104"/>
              <w:rPr>
                <w:sz w:val="18"/>
                <w:szCs w:val="20"/>
              </w:rPr>
            </w:pPr>
            <w:r>
              <w:rPr>
                <w:sz w:val="18"/>
                <w:szCs w:val="20"/>
              </w:rPr>
              <w:t>Broadband capacity extension</w:t>
            </w:r>
          </w:p>
        </w:tc>
        <w:tc>
          <w:tcPr>
            <w:tcW w:w="971" w:type="dxa"/>
            <w:gridSpan w:val="2"/>
          </w:tcPr>
          <w:p w14:paraId="228E3862" w14:textId="77777777" w:rsidR="00170B8D" w:rsidRPr="00AB56BB" w:rsidRDefault="00170B8D" w:rsidP="006D7164">
            <w:pPr>
              <w:pStyle w:val="TableParagraph"/>
              <w:keepLines/>
              <w:widowControl/>
              <w:jc w:val="center"/>
              <w:rPr>
                <w:rFonts w:ascii="Times New Roman"/>
                <w:sz w:val="18"/>
                <w:szCs w:val="20"/>
              </w:rPr>
            </w:pPr>
          </w:p>
        </w:tc>
        <w:tc>
          <w:tcPr>
            <w:tcW w:w="3296" w:type="dxa"/>
          </w:tcPr>
          <w:p w14:paraId="4515BFA6" w14:textId="77777777" w:rsidR="00170B8D" w:rsidRPr="00AB56BB" w:rsidRDefault="00170B8D" w:rsidP="00754FD1">
            <w:pPr>
              <w:pStyle w:val="TableParagraph"/>
              <w:keepLines/>
              <w:widowControl/>
              <w:rPr>
                <w:rFonts w:ascii="Times New Roman"/>
                <w:sz w:val="18"/>
                <w:szCs w:val="20"/>
              </w:rPr>
            </w:pPr>
          </w:p>
        </w:tc>
        <w:tc>
          <w:tcPr>
            <w:tcW w:w="4534" w:type="dxa"/>
          </w:tcPr>
          <w:p w14:paraId="6E66180C" w14:textId="6E94194F" w:rsidR="00170B8D" w:rsidRPr="00AB56BB" w:rsidRDefault="00170B8D" w:rsidP="00754FD1">
            <w:pPr>
              <w:pStyle w:val="TableParagraph"/>
              <w:keepLines/>
              <w:widowControl/>
              <w:rPr>
                <w:rFonts w:ascii="Times New Roman"/>
                <w:sz w:val="18"/>
                <w:szCs w:val="18"/>
              </w:rPr>
            </w:pPr>
          </w:p>
        </w:tc>
      </w:tr>
      <w:tr w:rsidR="00170B8D" w:rsidRPr="00AB56BB" w14:paraId="2FAA517C" w14:textId="77777777" w:rsidTr="2539CAE0">
        <w:tc>
          <w:tcPr>
            <w:tcW w:w="1945" w:type="dxa"/>
            <w:vMerge/>
          </w:tcPr>
          <w:p w14:paraId="0B71937D"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1F33C6C1" w14:textId="0653DDEC" w:rsidR="00170B8D" w:rsidRDefault="00170B8D" w:rsidP="00754FD1">
            <w:pPr>
              <w:pStyle w:val="TableParagraph"/>
              <w:keepLines/>
              <w:widowControl/>
              <w:spacing w:line="207" w:lineRule="exact"/>
              <w:ind w:left="104"/>
              <w:rPr>
                <w:sz w:val="18"/>
                <w:szCs w:val="20"/>
              </w:rPr>
            </w:pPr>
            <w:r>
              <w:rPr>
                <w:sz w:val="18"/>
                <w:szCs w:val="20"/>
              </w:rPr>
              <w:t>Low-income programs (lost revenue recovery)</w:t>
            </w:r>
          </w:p>
        </w:tc>
        <w:tc>
          <w:tcPr>
            <w:tcW w:w="971" w:type="dxa"/>
            <w:gridSpan w:val="2"/>
          </w:tcPr>
          <w:p w14:paraId="205C9143" w14:textId="77777777" w:rsidR="00170B8D" w:rsidRPr="00AB56BB" w:rsidRDefault="00170B8D" w:rsidP="006D7164">
            <w:pPr>
              <w:pStyle w:val="TableParagraph"/>
              <w:keepLines/>
              <w:widowControl/>
              <w:jc w:val="center"/>
              <w:rPr>
                <w:rFonts w:ascii="Times New Roman"/>
                <w:sz w:val="18"/>
                <w:szCs w:val="20"/>
              </w:rPr>
            </w:pPr>
          </w:p>
        </w:tc>
        <w:tc>
          <w:tcPr>
            <w:tcW w:w="3296" w:type="dxa"/>
          </w:tcPr>
          <w:p w14:paraId="1A3D8531" w14:textId="77777777" w:rsidR="00170B8D" w:rsidRPr="00AB56BB" w:rsidRDefault="00170B8D" w:rsidP="00754FD1">
            <w:pPr>
              <w:pStyle w:val="TableParagraph"/>
              <w:keepLines/>
              <w:widowControl/>
              <w:rPr>
                <w:rFonts w:ascii="Times New Roman"/>
                <w:sz w:val="18"/>
                <w:szCs w:val="20"/>
              </w:rPr>
            </w:pPr>
          </w:p>
        </w:tc>
        <w:tc>
          <w:tcPr>
            <w:tcW w:w="4534" w:type="dxa"/>
          </w:tcPr>
          <w:p w14:paraId="452B7813" w14:textId="55DD5285" w:rsidR="00170B8D" w:rsidRPr="00AB56BB" w:rsidRDefault="00170B8D" w:rsidP="00754FD1">
            <w:pPr>
              <w:pStyle w:val="TableParagraph"/>
              <w:keepLines/>
              <w:widowControl/>
              <w:rPr>
                <w:rFonts w:ascii="Times New Roman"/>
                <w:sz w:val="18"/>
                <w:szCs w:val="18"/>
              </w:rPr>
            </w:pPr>
          </w:p>
        </w:tc>
      </w:tr>
      <w:tr w:rsidR="00170B8D" w:rsidRPr="00AB56BB" w14:paraId="32332293" w14:textId="77777777" w:rsidTr="2539CAE0">
        <w:tc>
          <w:tcPr>
            <w:tcW w:w="1945" w:type="dxa"/>
            <w:vMerge/>
          </w:tcPr>
          <w:p w14:paraId="3404E10F"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3A3ABC37" w14:textId="3663E1AB" w:rsidR="00170B8D" w:rsidRDefault="00170B8D" w:rsidP="00754FD1">
            <w:pPr>
              <w:pStyle w:val="TableParagraph"/>
              <w:keepLines/>
              <w:widowControl/>
              <w:spacing w:line="207" w:lineRule="exact"/>
              <w:ind w:left="104"/>
              <w:rPr>
                <w:sz w:val="18"/>
                <w:szCs w:val="20"/>
              </w:rPr>
            </w:pPr>
            <w:r>
              <w:rPr>
                <w:sz w:val="18"/>
                <w:szCs w:val="20"/>
              </w:rPr>
              <w:t>Capital projects (e.g., combined cycle gas projects, offshore wind, solar, distribution system undergrounding, distribution grid transformation, nuclear life extension, etc.)</w:t>
            </w:r>
          </w:p>
        </w:tc>
        <w:tc>
          <w:tcPr>
            <w:tcW w:w="971" w:type="dxa"/>
            <w:gridSpan w:val="2"/>
          </w:tcPr>
          <w:p w14:paraId="7A53538F" w14:textId="77777777" w:rsidR="00170B8D" w:rsidRPr="00AB56BB" w:rsidRDefault="00170B8D" w:rsidP="006D7164">
            <w:pPr>
              <w:pStyle w:val="TableParagraph"/>
              <w:keepLines/>
              <w:widowControl/>
              <w:jc w:val="center"/>
              <w:rPr>
                <w:rFonts w:ascii="Times New Roman"/>
                <w:sz w:val="18"/>
                <w:szCs w:val="20"/>
              </w:rPr>
            </w:pPr>
          </w:p>
        </w:tc>
        <w:tc>
          <w:tcPr>
            <w:tcW w:w="3296" w:type="dxa"/>
          </w:tcPr>
          <w:p w14:paraId="69B97D06" w14:textId="77777777" w:rsidR="00170B8D" w:rsidRPr="00AB56BB" w:rsidRDefault="00170B8D" w:rsidP="00754FD1">
            <w:pPr>
              <w:pStyle w:val="TableParagraph"/>
              <w:keepLines/>
              <w:widowControl/>
              <w:rPr>
                <w:rFonts w:ascii="Times New Roman"/>
                <w:sz w:val="18"/>
                <w:szCs w:val="20"/>
              </w:rPr>
            </w:pPr>
          </w:p>
        </w:tc>
        <w:tc>
          <w:tcPr>
            <w:tcW w:w="4534" w:type="dxa"/>
          </w:tcPr>
          <w:p w14:paraId="0BFE3490" w14:textId="38A02EC4" w:rsidR="00170B8D" w:rsidRPr="00AB56BB" w:rsidRDefault="00170B8D" w:rsidP="00754FD1">
            <w:pPr>
              <w:pStyle w:val="TableParagraph"/>
              <w:keepLines/>
              <w:widowControl/>
              <w:rPr>
                <w:rFonts w:ascii="Times New Roman"/>
                <w:sz w:val="18"/>
                <w:szCs w:val="20"/>
              </w:rPr>
            </w:pPr>
          </w:p>
        </w:tc>
      </w:tr>
      <w:tr w:rsidR="007629A1" w:rsidRPr="00AB56BB" w14:paraId="616226A1" w14:textId="77777777" w:rsidTr="2539CAE0">
        <w:trPr>
          <w:trHeight w:val="680"/>
        </w:trPr>
        <w:tc>
          <w:tcPr>
            <w:tcW w:w="1945" w:type="dxa"/>
            <w:vMerge w:val="restart"/>
            <w:tcBorders>
              <w:top w:val="dashed" w:sz="4" w:space="0" w:color="auto"/>
            </w:tcBorders>
          </w:tcPr>
          <w:p w14:paraId="3ABE4385" w14:textId="45FA3D29" w:rsidR="007629A1" w:rsidRDefault="007629A1" w:rsidP="005448D6">
            <w:pPr>
              <w:pStyle w:val="TableParagraph"/>
              <w:keepLines/>
              <w:widowControl/>
              <w:spacing w:line="268" w:lineRule="auto"/>
              <w:ind w:left="60"/>
              <w:rPr>
                <w:b/>
                <w:spacing w:val="-2"/>
                <w:sz w:val="18"/>
                <w:szCs w:val="20"/>
              </w:rPr>
            </w:pPr>
            <w:r w:rsidRPr="00D674FC">
              <w:rPr>
                <w:b/>
                <w:bCs/>
                <w:sz w:val="18"/>
                <w:szCs w:val="20"/>
              </w:rPr>
              <w:t>Other trackers</w:t>
            </w:r>
            <w:r>
              <w:rPr>
                <w:sz w:val="18"/>
                <w:szCs w:val="20"/>
              </w:rPr>
              <w:t xml:space="preserve"> (user choice to select additional trackers used in Virginia </w:t>
            </w:r>
            <w:r w:rsidR="00A71544">
              <w:rPr>
                <w:sz w:val="18"/>
                <w:szCs w:val="20"/>
              </w:rPr>
              <w:t>rate making</w:t>
            </w:r>
            <w:r>
              <w:rPr>
                <w:sz w:val="18"/>
                <w:szCs w:val="20"/>
              </w:rPr>
              <w:t xml:space="preserve"> for attention)</w:t>
            </w:r>
          </w:p>
        </w:tc>
        <w:tc>
          <w:tcPr>
            <w:tcW w:w="2217" w:type="dxa"/>
          </w:tcPr>
          <w:p w14:paraId="30310C20" w14:textId="77777777" w:rsidR="007629A1" w:rsidRDefault="007629A1" w:rsidP="00DB0C1F">
            <w:pPr>
              <w:pStyle w:val="TableParagraph"/>
              <w:keepLines/>
              <w:widowControl/>
              <w:spacing w:line="207" w:lineRule="exact"/>
              <w:ind w:left="180"/>
              <w:rPr>
                <w:sz w:val="18"/>
                <w:szCs w:val="20"/>
              </w:rPr>
            </w:pPr>
          </w:p>
        </w:tc>
        <w:tc>
          <w:tcPr>
            <w:tcW w:w="971" w:type="dxa"/>
            <w:gridSpan w:val="2"/>
          </w:tcPr>
          <w:p w14:paraId="64AAF40D" w14:textId="77777777" w:rsidR="007629A1" w:rsidRPr="00AB56BB" w:rsidRDefault="007629A1" w:rsidP="006D7164">
            <w:pPr>
              <w:pStyle w:val="TableParagraph"/>
              <w:keepLines/>
              <w:widowControl/>
              <w:jc w:val="center"/>
              <w:rPr>
                <w:rFonts w:ascii="Times New Roman"/>
                <w:sz w:val="18"/>
                <w:szCs w:val="20"/>
              </w:rPr>
            </w:pPr>
          </w:p>
        </w:tc>
        <w:tc>
          <w:tcPr>
            <w:tcW w:w="3296" w:type="dxa"/>
          </w:tcPr>
          <w:p w14:paraId="0D617B0E" w14:textId="77777777" w:rsidR="007629A1" w:rsidRPr="00AB56BB" w:rsidRDefault="007629A1" w:rsidP="00754FD1">
            <w:pPr>
              <w:pStyle w:val="TableParagraph"/>
              <w:keepLines/>
              <w:widowControl/>
              <w:rPr>
                <w:rFonts w:ascii="Times New Roman"/>
                <w:sz w:val="18"/>
                <w:szCs w:val="20"/>
              </w:rPr>
            </w:pPr>
          </w:p>
        </w:tc>
        <w:tc>
          <w:tcPr>
            <w:tcW w:w="4534" w:type="dxa"/>
          </w:tcPr>
          <w:p w14:paraId="6FBA83E0" w14:textId="77777777" w:rsidR="007629A1" w:rsidRPr="00AB56BB" w:rsidRDefault="007629A1" w:rsidP="00754FD1">
            <w:pPr>
              <w:pStyle w:val="TableParagraph"/>
              <w:keepLines/>
              <w:widowControl/>
              <w:rPr>
                <w:rFonts w:ascii="Times New Roman"/>
                <w:sz w:val="18"/>
                <w:szCs w:val="20"/>
              </w:rPr>
            </w:pPr>
          </w:p>
        </w:tc>
      </w:tr>
      <w:tr w:rsidR="007629A1" w:rsidRPr="00AB56BB" w14:paraId="1853A5E2" w14:textId="77777777" w:rsidTr="2539CAE0">
        <w:tc>
          <w:tcPr>
            <w:tcW w:w="1945" w:type="dxa"/>
            <w:vMerge/>
          </w:tcPr>
          <w:p w14:paraId="7A3C70CC" w14:textId="77777777" w:rsidR="007629A1" w:rsidRDefault="007629A1" w:rsidP="005448D6">
            <w:pPr>
              <w:pStyle w:val="TableParagraph"/>
              <w:keepLines/>
              <w:widowControl/>
              <w:spacing w:line="268" w:lineRule="auto"/>
              <w:ind w:left="60"/>
              <w:rPr>
                <w:b/>
                <w:spacing w:val="-2"/>
                <w:sz w:val="18"/>
                <w:szCs w:val="20"/>
              </w:rPr>
            </w:pPr>
          </w:p>
        </w:tc>
        <w:tc>
          <w:tcPr>
            <w:tcW w:w="2217" w:type="dxa"/>
          </w:tcPr>
          <w:p w14:paraId="7BC04E72" w14:textId="77777777" w:rsidR="007629A1" w:rsidRDefault="007629A1" w:rsidP="00DB0C1F">
            <w:pPr>
              <w:pStyle w:val="TableParagraph"/>
              <w:keepLines/>
              <w:widowControl/>
              <w:spacing w:line="207" w:lineRule="exact"/>
              <w:ind w:left="180"/>
              <w:rPr>
                <w:sz w:val="18"/>
                <w:szCs w:val="20"/>
              </w:rPr>
            </w:pPr>
          </w:p>
        </w:tc>
        <w:tc>
          <w:tcPr>
            <w:tcW w:w="971" w:type="dxa"/>
            <w:gridSpan w:val="2"/>
          </w:tcPr>
          <w:p w14:paraId="1B8E73DC" w14:textId="77777777" w:rsidR="007629A1" w:rsidRPr="00AB56BB" w:rsidRDefault="007629A1" w:rsidP="006D7164">
            <w:pPr>
              <w:pStyle w:val="TableParagraph"/>
              <w:keepLines/>
              <w:widowControl/>
              <w:jc w:val="center"/>
              <w:rPr>
                <w:rFonts w:ascii="Times New Roman"/>
                <w:sz w:val="18"/>
                <w:szCs w:val="20"/>
              </w:rPr>
            </w:pPr>
          </w:p>
        </w:tc>
        <w:tc>
          <w:tcPr>
            <w:tcW w:w="3296" w:type="dxa"/>
          </w:tcPr>
          <w:p w14:paraId="42FF8FEB" w14:textId="77777777" w:rsidR="007629A1" w:rsidRPr="00AB56BB" w:rsidRDefault="007629A1" w:rsidP="00754FD1">
            <w:pPr>
              <w:pStyle w:val="TableParagraph"/>
              <w:keepLines/>
              <w:widowControl/>
              <w:rPr>
                <w:rFonts w:ascii="Times New Roman"/>
                <w:sz w:val="18"/>
                <w:szCs w:val="20"/>
              </w:rPr>
            </w:pPr>
          </w:p>
        </w:tc>
        <w:tc>
          <w:tcPr>
            <w:tcW w:w="4534" w:type="dxa"/>
          </w:tcPr>
          <w:p w14:paraId="614111C5" w14:textId="77777777" w:rsidR="007629A1" w:rsidRPr="00AB56BB" w:rsidRDefault="007629A1" w:rsidP="00754FD1">
            <w:pPr>
              <w:pStyle w:val="TableParagraph"/>
              <w:keepLines/>
              <w:widowControl/>
              <w:rPr>
                <w:rFonts w:ascii="Times New Roman"/>
                <w:sz w:val="18"/>
                <w:szCs w:val="20"/>
              </w:rPr>
            </w:pPr>
          </w:p>
        </w:tc>
      </w:tr>
      <w:tr w:rsidR="00AB56BB" w:rsidRPr="00AB56BB" w14:paraId="41F8BC61" w14:textId="77777777" w:rsidTr="2539CAE0">
        <w:tc>
          <w:tcPr>
            <w:tcW w:w="1945" w:type="dxa"/>
          </w:tcPr>
          <w:p w14:paraId="6EC225F6" w14:textId="5B253493" w:rsidR="00AB56BB" w:rsidRDefault="00615B91" w:rsidP="005448D6">
            <w:pPr>
              <w:pStyle w:val="TableParagraph"/>
              <w:keepLines/>
              <w:widowControl/>
              <w:spacing w:line="268" w:lineRule="auto"/>
              <w:ind w:left="60"/>
              <w:rPr>
                <w:b/>
                <w:spacing w:val="-2"/>
                <w:sz w:val="18"/>
                <w:szCs w:val="20"/>
              </w:rPr>
            </w:pPr>
            <w:r>
              <w:rPr>
                <w:b/>
                <w:spacing w:val="-2"/>
                <w:sz w:val="18"/>
                <w:szCs w:val="20"/>
              </w:rPr>
              <w:t>Transmission cost recovery (FERC formula rates)</w:t>
            </w:r>
          </w:p>
        </w:tc>
        <w:tc>
          <w:tcPr>
            <w:tcW w:w="2217" w:type="dxa"/>
          </w:tcPr>
          <w:p w14:paraId="29372FED" w14:textId="42D234CA" w:rsidR="00AB56BB" w:rsidRDefault="00DB0C1F" w:rsidP="00FC2FA7">
            <w:pPr>
              <w:pStyle w:val="TableParagraph"/>
              <w:keepLines/>
              <w:widowControl/>
              <w:spacing w:line="207" w:lineRule="exact"/>
              <w:ind w:left="90"/>
              <w:rPr>
                <w:sz w:val="18"/>
                <w:szCs w:val="20"/>
              </w:rPr>
            </w:pPr>
            <w:r>
              <w:rPr>
                <w:sz w:val="18"/>
                <w:szCs w:val="20"/>
              </w:rPr>
              <w:t>Transmission costs as allocated in FERC formula rates, recovered from customers via trackers (RACs) and/or base rates</w:t>
            </w:r>
          </w:p>
        </w:tc>
        <w:tc>
          <w:tcPr>
            <w:tcW w:w="971" w:type="dxa"/>
            <w:gridSpan w:val="2"/>
          </w:tcPr>
          <w:p w14:paraId="45365DC1" w14:textId="09C216A0" w:rsidR="00AB56BB" w:rsidRPr="00AB56BB" w:rsidRDefault="004D1EB0" w:rsidP="006D7164">
            <w:pPr>
              <w:pStyle w:val="TableParagraph"/>
              <w:keepLines/>
              <w:widowControl/>
              <w:jc w:val="center"/>
              <w:rPr>
                <w:rFonts w:ascii="Times New Roman"/>
                <w:sz w:val="18"/>
                <w:szCs w:val="20"/>
              </w:rPr>
            </w:pPr>
            <w:r>
              <w:rPr>
                <w:rFonts w:ascii="Times New Roman"/>
                <w:sz w:val="18"/>
                <w:szCs w:val="20"/>
              </w:rPr>
              <w:t>0</w:t>
            </w:r>
          </w:p>
        </w:tc>
        <w:tc>
          <w:tcPr>
            <w:tcW w:w="3296" w:type="dxa"/>
          </w:tcPr>
          <w:p w14:paraId="51B799F7" w14:textId="6619E063" w:rsidR="00AB56BB" w:rsidRPr="00AB56BB" w:rsidRDefault="00AB56BB" w:rsidP="00754FD1">
            <w:pPr>
              <w:pStyle w:val="TableParagraph"/>
              <w:keepLines/>
              <w:widowControl/>
              <w:rPr>
                <w:rFonts w:ascii="Times New Roman"/>
                <w:sz w:val="18"/>
                <w:szCs w:val="20"/>
              </w:rPr>
            </w:pPr>
          </w:p>
        </w:tc>
        <w:tc>
          <w:tcPr>
            <w:tcW w:w="4534" w:type="dxa"/>
          </w:tcPr>
          <w:p w14:paraId="0B9A854E" w14:textId="77777777" w:rsidR="00AB56BB" w:rsidRPr="00AB56BB" w:rsidRDefault="00AB56BB" w:rsidP="00754FD1">
            <w:pPr>
              <w:pStyle w:val="TableParagraph"/>
              <w:keepLines/>
              <w:widowControl/>
              <w:rPr>
                <w:rFonts w:ascii="Times New Roman"/>
                <w:sz w:val="18"/>
                <w:szCs w:val="20"/>
              </w:rPr>
            </w:pPr>
          </w:p>
        </w:tc>
      </w:tr>
      <w:tr w:rsidR="00615B91" w:rsidRPr="00AB56BB" w14:paraId="7DD1FE9E" w14:textId="77777777" w:rsidTr="2539CAE0">
        <w:tc>
          <w:tcPr>
            <w:tcW w:w="1945" w:type="dxa"/>
            <w:vMerge w:val="restart"/>
            <w:vAlign w:val="center"/>
          </w:tcPr>
          <w:p w14:paraId="590187A1" w14:textId="48CE5B90" w:rsidR="00615B91" w:rsidRDefault="00615B91" w:rsidP="005448D6">
            <w:pPr>
              <w:pStyle w:val="TableParagraph"/>
              <w:keepLines/>
              <w:widowControl/>
              <w:spacing w:line="268" w:lineRule="auto"/>
              <w:ind w:left="60"/>
              <w:rPr>
                <w:b/>
                <w:spacing w:val="-2"/>
                <w:sz w:val="18"/>
                <w:szCs w:val="20"/>
              </w:rPr>
            </w:pPr>
            <w:r>
              <w:rPr>
                <w:b/>
                <w:spacing w:val="-2"/>
                <w:sz w:val="18"/>
                <w:szCs w:val="20"/>
              </w:rPr>
              <w:t xml:space="preserve">Performance adjustments and </w:t>
            </w:r>
            <w:r w:rsidR="00151704">
              <w:rPr>
                <w:b/>
                <w:spacing w:val="-2"/>
                <w:sz w:val="18"/>
                <w:szCs w:val="20"/>
              </w:rPr>
              <w:t>measurement</w:t>
            </w:r>
          </w:p>
        </w:tc>
        <w:tc>
          <w:tcPr>
            <w:tcW w:w="2217" w:type="dxa"/>
          </w:tcPr>
          <w:p w14:paraId="2ABD08DA" w14:textId="5A5DFA13" w:rsidR="00615B91" w:rsidRDefault="00615B91" w:rsidP="00754FD1">
            <w:pPr>
              <w:pStyle w:val="TableParagraph"/>
              <w:keepLines/>
              <w:widowControl/>
              <w:spacing w:line="207" w:lineRule="exact"/>
              <w:ind w:left="104"/>
              <w:rPr>
                <w:sz w:val="18"/>
                <w:szCs w:val="20"/>
              </w:rPr>
            </w:pPr>
            <w:r>
              <w:rPr>
                <w:sz w:val="18"/>
                <w:szCs w:val="20"/>
              </w:rPr>
              <w:t>ROE adjustment mechanisms</w:t>
            </w:r>
          </w:p>
        </w:tc>
        <w:tc>
          <w:tcPr>
            <w:tcW w:w="971" w:type="dxa"/>
            <w:gridSpan w:val="2"/>
          </w:tcPr>
          <w:p w14:paraId="3109531C" w14:textId="4A0F4143" w:rsidR="00615B91" w:rsidRPr="00AB56BB" w:rsidRDefault="004B1D28" w:rsidP="006D7164">
            <w:pPr>
              <w:pStyle w:val="TableParagraph"/>
              <w:keepLines/>
              <w:widowControl/>
              <w:jc w:val="center"/>
              <w:rPr>
                <w:rFonts w:ascii="Times New Roman"/>
                <w:sz w:val="18"/>
                <w:szCs w:val="20"/>
              </w:rPr>
            </w:pPr>
            <w:r>
              <w:rPr>
                <w:rFonts w:ascii="Times New Roman"/>
                <w:sz w:val="18"/>
                <w:szCs w:val="20"/>
              </w:rPr>
              <w:t>0</w:t>
            </w:r>
          </w:p>
        </w:tc>
        <w:tc>
          <w:tcPr>
            <w:tcW w:w="3296" w:type="dxa"/>
          </w:tcPr>
          <w:p w14:paraId="4DC630B0" w14:textId="639994F4" w:rsidR="00615B91" w:rsidRPr="00AB56BB" w:rsidRDefault="004B1D28" w:rsidP="00754FD1">
            <w:pPr>
              <w:pStyle w:val="TableParagraph"/>
              <w:keepLines/>
              <w:widowControl/>
              <w:rPr>
                <w:rFonts w:ascii="Times New Roman"/>
                <w:sz w:val="18"/>
                <w:szCs w:val="20"/>
              </w:rPr>
            </w:pPr>
            <w:r>
              <w:rPr>
                <w:rFonts w:ascii="Times New Roman"/>
                <w:sz w:val="18"/>
                <w:szCs w:val="20"/>
              </w:rPr>
              <w:t xml:space="preserve">Its is unclear whether ROE adjustment mechanisms incent </w:t>
            </w:r>
            <w:r w:rsidR="00E73683">
              <w:rPr>
                <w:rFonts w:ascii="Times New Roman"/>
                <w:sz w:val="18"/>
                <w:szCs w:val="20"/>
              </w:rPr>
              <w:t>particular action from the utility generally. As there is not a current adjustment for peak demand reduction, whether such an incentive were materially significant enough to incent action from the util</w:t>
            </w:r>
            <w:r w:rsidR="004A3E65">
              <w:rPr>
                <w:rFonts w:ascii="Times New Roman"/>
                <w:sz w:val="18"/>
                <w:szCs w:val="20"/>
              </w:rPr>
              <w:t>ity is unclear.</w:t>
            </w:r>
          </w:p>
        </w:tc>
        <w:tc>
          <w:tcPr>
            <w:tcW w:w="4534" w:type="dxa"/>
          </w:tcPr>
          <w:p w14:paraId="4746AFC5" w14:textId="40D07F68" w:rsidR="00615B91" w:rsidRPr="00AB56BB" w:rsidRDefault="004A3E65" w:rsidP="00754FD1">
            <w:pPr>
              <w:pStyle w:val="TableParagraph"/>
              <w:keepLines/>
              <w:widowControl/>
              <w:rPr>
                <w:rFonts w:ascii="Times New Roman"/>
                <w:sz w:val="18"/>
                <w:szCs w:val="20"/>
              </w:rPr>
            </w:pPr>
            <w:r>
              <w:rPr>
                <w:rFonts w:ascii="Times New Roman"/>
                <w:sz w:val="18"/>
                <w:szCs w:val="20"/>
              </w:rPr>
              <w:t>Understanding materiality of incentive, what</w:t>
            </w:r>
            <w:r>
              <w:rPr>
                <w:rFonts w:ascii="Times New Roman"/>
                <w:sz w:val="18"/>
                <w:szCs w:val="20"/>
              </w:rPr>
              <w:t>’</w:t>
            </w:r>
            <w:r>
              <w:rPr>
                <w:rFonts w:ascii="Times New Roman"/>
                <w:sz w:val="18"/>
                <w:szCs w:val="20"/>
              </w:rPr>
              <w:t xml:space="preserve">s </w:t>
            </w:r>
            <w:r>
              <w:rPr>
                <w:rFonts w:ascii="Times New Roman"/>
                <w:sz w:val="18"/>
                <w:szCs w:val="20"/>
              </w:rPr>
              <w:t>“</w:t>
            </w:r>
            <w:r>
              <w:rPr>
                <w:rFonts w:ascii="Times New Roman"/>
                <w:sz w:val="18"/>
                <w:szCs w:val="20"/>
              </w:rPr>
              <w:t>enough</w:t>
            </w:r>
            <w:r>
              <w:rPr>
                <w:rFonts w:ascii="Times New Roman"/>
                <w:sz w:val="18"/>
                <w:szCs w:val="20"/>
              </w:rPr>
              <w:t>”</w:t>
            </w:r>
            <w:r>
              <w:rPr>
                <w:rFonts w:ascii="Times New Roman"/>
                <w:sz w:val="18"/>
                <w:szCs w:val="20"/>
              </w:rPr>
              <w:t xml:space="preserve"> to encourage utility action</w:t>
            </w:r>
            <w:r w:rsidR="00477D1C">
              <w:rPr>
                <w:rFonts w:ascii="Times New Roman"/>
                <w:sz w:val="18"/>
                <w:szCs w:val="20"/>
              </w:rPr>
              <w:t xml:space="preserve"> seems important here.</w:t>
            </w:r>
          </w:p>
        </w:tc>
      </w:tr>
      <w:tr w:rsidR="00615B91" w:rsidRPr="00AB56BB" w14:paraId="1471EFFC" w14:textId="77777777" w:rsidTr="2539CAE0">
        <w:tc>
          <w:tcPr>
            <w:tcW w:w="1945" w:type="dxa"/>
            <w:vMerge/>
          </w:tcPr>
          <w:p w14:paraId="793746CD"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58A41A03" w14:textId="68B4CA94" w:rsidR="00615B91" w:rsidRDefault="00615B91" w:rsidP="00754FD1">
            <w:pPr>
              <w:pStyle w:val="TableParagraph"/>
              <w:keepLines/>
              <w:widowControl/>
              <w:spacing w:line="207" w:lineRule="exact"/>
              <w:ind w:left="104"/>
              <w:rPr>
                <w:sz w:val="18"/>
                <w:szCs w:val="20"/>
              </w:rPr>
            </w:pPr>
            <w:r w:rsidRPr="00170B8D">
              <w:rPr>
                <w:sz w:val="18"/>
                <w:szCs w:val="20"/>
              </w:rPr>
              <w:t>Energy efficiency savings target (ROE adder applied to DSN operating expenses)</w:t>
            </w:r>
          </w:p>
        </w:tc>
        <w:tc>
          <w:tcPr>
            <w:tcW w:w="971" w:type="dxa"/>
            <w:gridSpan w:val="2"/>
          </w:tcPr>
          <w:p w14:paraId="2A86C287" w14:textId="278AFF33" w:rsidR="00615B91" w:rsidRPr="00AB56BB" w:rsidRDefault="007863A1" w:rsidP="006D7164">
            <w:pPr>
              <w:pStyle w:val="TableParagraph"/>
              <w:keepLines/>
              <w:widowControl/>
              <w:jc w:val="center"/>
              <w:rPr>
                <w:rFonts w:ascii="Times New Roman"/>
                <w:sz w:val="18"/>
                <w:szCs w:val="20"/>
              </w:rPr>
            </w:pPr>
            <w:r>
              <w:rPr>
                <w:rFonts w:ascii="Times New Roman"/>
                <w:sz w:val="18"/>
                <w:szCs w:val="20"/>
              </w:rPr>
              <w:t>0</w:t>
            </w:r>
          </w:p>
        </w:tc>
        <w:tc>
          <w:tcPr>
            <w:tcW w:w="3296" w:type="dxa"/>
          </w:tcPr>
          <w:p w14:paraId="0EE17BEE" w14:textId="57DA83C1" w:rsidR="00615B91" w:rsidRPr="00AB56BB" w:rsidRDefault="00477D1C" w:rsidP="00754FD1">
            <w:pPr>
              <w:pStyle w:val="TableParagraph"/>
              <w:keepLines/>
              <w:widowControl/>
              <w:rPr>
                <w:rFonts w:ascii="Times New Roman"/>
                <w:sz w:val="18"/>
                <w:szCs w:val="20"/>
              </w:rPr>
            </w:pPr>
            <w:r>
              <w:rPr>
                <w:rFonts w:ascii="Times New Roman"/>
                <w:sz w:val="18"/>
                <w:szCs w:val="20"/>
              </w:rPr>
              <w:t>Same as above</w:t>
            </w:r>
          </w:p>
        </w:tc>
        <w:tc>
          <w:tcPr>
            <w:tcW w:w="4534" w:type="dxa"/>
          </w:tcPr>
          <w:p w14:paraId="7B5C067D" w14:textId="335A5C26" w:rsidR="00615B91" w:rsidRPr="00AB56BB" w:rsidRDefault="00477D1C" w:rsidP="00754FD1">
            <w:pPr>
              <w:pStyle w:val="TableParagraph"/>
              <w:keepLines/>
              <w:widowControl/>
              <w:rPr>
                <w:rFonts w:ascii="Times New Roman"/>
                <w:sz w:val="18"/>
                <w:szCs w:val="20"/>
              </w:rPr>
            </w:pPr>
            <w:r>
              <w:rPr>
                <w:rFonts w:ascii="Times New Roman"/>
                <w:sz w:val="18"/>
                <w:szCs w:val="20"/>
              </w:rPr>
              <w:t>Same as above</w:t>
            </w:r>
          </w:p>
        </w:tc>
      </w:tr>
      <w:tr w:rsidR="00615B91" w:rsidRPr="00AB56BB" w14:paraId="60AB1906" w14:textId="77777777" w:rsidTr="2539CAE0">
        <w:tc>
          <w:tcPr>
            <w:tcW w:w="1945" w:type="dxa"/>
            <w:vMerge/>
          </w:tcPr>
          <w:p w14:paraId="7C1E7A21" w14:textId="74B2FD2F" w:rsidR="00615B91" w:rsidRDefault="00615B91" w:rsidP="005448D6">
            <w:pPr>
              <w:pStyle w:val="TableParagraph"/>
              <w:keepLines/>
              <w:widowControl/>
              <w:spacing w:line="268" w:lineRule="auto"/>
              <w:ind w:left="60"/>
              <w:rPr>
                <w:b/>
                <w:spacing w:val="-2"/>
                <w:sz w:val="18"/>
                <w:szCs w:val="20"/>
              </w:rPr>
            </w:pPr>
          </w:p>
        </w:tc>
        <w:tc>
          <w:tcPr>
            <w:tcW w:w="2217" w:type="dxa"/>
          </w:tcPr>
          <w:p w14:paraId="38404085" w14:textId="04A24FEF" w:rsidR="00615B91" w:rsidRDefault="00615B91" w:rsidP="00754FD1">
            <w:pPr>
              <w:pStyle w:val="TableParagraph"/>
              <w:keepLines/>
              <w:widowControl/>
              <w:spacing w:line="207" w:lineRule="exact"/>
              <w:ind w:left="104"/>
              <w:rPr>
                <w:sz w:val="18"/>
                <w:szCs w:val="20"/>
              </w:rPr>
            </w:pPr>
            <w:r>
              <w:rPr>
                <w:sz w:val="18"/>
                <w:szCs w:val="20"/>
              </w:rPr>
              <w:t>Performance mechanisms (e.g., metrics, scorecards, PIMS), including Case No. PUR-2023-00210</w:t>
            </w:r>
            <w:r w:rsidR="002330C2">
              <w:rPr>
                <w:sz w:val="18"/>
                <w:szCs w:val="20"/>
              </w:rPr>
              <w:t xml:space="preserve"> (Separate SCC PBR Case)</w:t>
            </w:r>
          </w:p>
        </w:tc>
        <w:tc>
          <w:tcPr>
            <w:tcW w:w="971" w:type="dxa"/>
            <w:gridSpan w:val="2"/>
          </w:tcPr>
          <w:p w14:paraId="13F803F6" w14:textId="6735C9DD" w:rsidR="00615B91" w:rsidRPr="00AB56BB" w:rsidRDefault="007863A1" w:rsidP="006D7164">
            <w:pPr>
              <w:pStyle w:val="TableParagraph"/>
              <w:keepLines/>
              <w:widowControl/>
              <w:jc w:val="center"/>
              <w:rPr>
                <w:rFonts w:ascii="Times New Roman"/>
                <w:sz w:val="18"/>
                <w:szCs w:val="20"/>
              </w:rPr>
            </w:pPr>
            <w:r>
              <w:rPr>
                <w:rFonts w:ascii="Times New Roman"/>
                <w:sz w:val="18"/>
                <w:szCs w:val="20"/>
              </w:rPr>
              <w:t>0</w:t>
            </w:r>
          </w:p>
        </w:tc>
        <w:tc>
          <w:tcPr>
            <w:tcW w:w="3296" w:type="dxa"/>
          </w:tcPr>
          <w:p w14:paraId="2CBCBF72" w14:textId="3E8AD6B6" w:rsidR="00615B91" w:rsidRPr="00AB56BB" w:rsidRDefault="00417B86" w:rsidP="00754FD1">
            <w:pPr>
              <w:pStyle w:val="TableParagraph"/>
              <w:keepLines/>
              <w:widowControl/>
              <w:rPr>
                <w:rFonts w:ascii="Times New Roman"/>
                <w:sz w:val="18"/>
                <w:szCs w:val="20"/>
              </w:rPr>
            </w:pPr>
            <w:r>
              <w:rPr>
                <w:rFonts w:ascii="Times New Roman"/>
                <w:sz w:val="18"/>
                <w:szCs w:val="20"/>
              </w:rPr>
              <w:t>Metrics and a scorecard would seem informative here and potentially impactful as well</w:t>
            </w:r>
          </w:p>
        </w:tc>
        <w:tc>
          <w:tcPr>
            <w:tcW w:w="4534" w:type="dxa"/>
          </w:tcPr>
          <w:p w14:paraId="60095267" w14:textId="7C8C02A2" w:rsidR="00615B91" w:rsidRPr="00AB56BB" w:rsidRDefault="00417B86" w:rsidP="00754FD1">
            <w:pPr>
              <w:pStyle w:val="TableParagraph"/>
              <w:keepLines/>
              <w:widowControl/>
              <w:rPr>
                <w:rFonts w:ascii="Times New Roman"/>
                <w:sz w:val="18"/>
                <w:szCs w:val="20"/>
              </w:rPr>
            </w:pPr>
            <w:r>
              <w:rPr>
                <w:rFonts w:ascii="Times New Roman"/>
                <w:sz w:val="18"/>
                <w:szCs w:val="20"/>
              </w:rPr>
              <w:t xml:space="preserve">Setting benchmarks and goals for achievement could be meaningful in understanding </w:t>
            </w:r>
            <w:r w:rsidR="007863A1">
              <w:rPr>
                <w:rFonts w:ascii="Times New Roman"/>
                <w:sz w:val="18"/>
                <w:szCs w:val="20"/>
              </w:rPr>
              <w:t>the potential impacts of peak demand reduction.</w:t>
            </w:r>
          </w:p>
        </w:tc>
      </w:tr>
      <w:tr w:rsidR="00615B91" w:rsidRPr="00AB56BB" w14:paraId="3AB55596" w14:textId="77777777" w:rsidTr="2539CAE0">
        <w:trPr>
          <w:cantSplit/>
        </w:trPr>
        <w:tc>
          <w:tcPr>
            <w:tcW w:w="1945" w:type="dxa"/>
            <w:vMerge w:val="restart"/>
            <w:vAlign w:val="center"/>
          </w:tcPr>
          <w:p w14:paraId="1EEBF2B1" w14:textId="35FE5C34" w:rsidR="00615B91" w:rsidRDefault="00615B91" w:rsidP="005448D6">
            <w:pPr>
              <w:pStyle w:val="TableParagraph"/>
              <w:keepLines/>
              <w:widowControl/>
              <w:spacing w:line="268" w:lineRule="auto"/>
              <w:ind w:left="60"/>
              <w:rPr>
                <w:b/>
                <w:spacing w:val="-2"/>
                <w:sz w:val="18"/>
                <w:szCs w:val="20"/>
              </w:rPr>
            </w:pPr>
            <w:r>
              <w:rPr>
                <w:b/>
                <w:spacing w:val="-2"/>
                <w:sz w:val="18"/>
                <w:szCs w:val="20"/>
              </w:rPr>
              <w:t>Other ratemaking and regulatory features</w:t>
            </w:r>
          </w:p>
        </w:tc>
        <w:tc>
          <w:tcPr>
            <w:tcW w:w="2217" w:type="dxa"/>
          </w:tcPr>
          <w:p w14:paraId="5CCA3F46" w14:textId="18B56AAF" w:rsidR="00615B91" w:rsidRDefault="00615B91" w:rsidP="00754FD1">
            <w:pPr>
              <w:pStyle w:val="TableParagraph"/>
              <w:keepLines/>
              <w:widowControl/>
              <w:spacing w:line="207" w:lineRule="exact"/>
              <w:ind w:left="104"/>
              <w:rPr>
                <w:sz w:val="18"/>
                <w:szCs w:val="20"/>
              </w:rPr>
            </w:pPr>
            <w:r>
              <w:rPr>
                <w:sz w:val="18"/>
                <w:szCs w:val="20"/>
              </w:rPr>
              <w:t>IRPs</w:t>
            </w:r>
          </w:p>
        </w:tc>
        <w:tc>
          <w:tcPr>
            <w:tcW w:w="971" w:type="dxa"/>
            <w:gridSpan w:val="2"/>
          </w:tcPr>
          <w:p w14:paraId="55EA4B80" w14:textId="48C09E82" w:rsidR="00615B91" w:rsidRPr="00AB56BB" w:rsidRDefault="00A75E01" w:rsidP="006D7164">
            <w:pPr>
              <w:pStyle w:val="TableParagraph"/>
              <w:keepLines/>
              <w:widowControl/>
              <w:jc w:val="center"/>
              <w:rPr>
                <w:rFonts w:ascii="Times New Roman"/>
                <w:sz w:val="18"/>
                <w:szCs w:val="20"/>
              </w:rPr>
            </w:pPr>
            <w:r>
              <w:rPr>
                <w:rFonts w:ascii="Times New Roman"/>
                <w:sz w:val="18"/>
                <w:szCs w:val="20"/>
              </w:rPr>
              <w:t>+</w:t>
            </w:r>
          </w:p>
        </w:tc>
        <w:tc>
          <w:tcPr>
            <w:tcW w:w="3296" w:type="dxa"/>
          </w:tcPr>
          <w:p w14:paraId="185F5CFF" w14:textId="0C54FC05" w:rsidR="00615B91" w:rsidRPr="00AB56BB" w:rsidRDefault="007863A1" w:rsidP="00754FD1">
            <w:pPr>
              <w:pStyle w:val="TableParagraph"/>
              <w:keepLines/>
              <w:widowControl/>
              <w:rPr>
                <w:rFonts w:ascii="Times New Roman"/>
                <w:sz w:val="18"/>
                <w:szCs w:val="20"/>
              </w:rPr>
            </w:pPr>
            <w:r>
              <w:rPr>
                <w:rFonts w:ascii="Times New Roman"/>
                <w:sz w:val="18"/>
                <w:szCs w:val="20"/>
              </w:rPr>
              <w:t>This is where utility resource planning is evaluated based on the load forecast the utility presents. It is the place to evaluate the forecast to better inform future decisions made in reliance on it</w:t>
            </w:r>
            <w:r>
              <w:rPr>
                <w:rFonts w:ascii="Times New Roman"/>
                <w:sz w:val="18"/>
                <w:szCs w:val="20"/>
              </w:rPr>
              <w:t>’</w:t>
            </w:r>
            <w:r>
              <w:rPr>
                <w:rFonts w:ascii="Times New Roman"/>
                <w:sz w:val="18"/>
                <w:szCs w:val="20"/>
              </w:rPr>
              <w:t>s assumptions.</w:t>
            </w:r>
          </w:p>
        </w:tc>
        <w:tc>
          <w:tcPr>
            <w:tcW w:w="4534" w:type="dxa"/>
          </w:tcPr>
          <w:p w14:paraId="1D7F60E8" w14:textId="41F63A2D" w:rsidR="00615B91" w:rsidRPr="00AB56BB" w:rsidRDefault="00C12397" w:rsidP="00754FD1">
            <w:pPr>
              <w:pStyle w:val="TableParagraph"/>
              <w:keepLines/>
              <w:widowControl/>
              <w:rPr>
                <w:rFonts w:ascii="Times New Roman"/>
                <w:sz w:val="18"/>
                <w:szCs w:val="20"/>
              </w:rPr>
            </w:pPr>
            <w:r>
              <w:rPr>
                <w:rFonts w:ascii="Times New Roman"/>
                <w:sz w:val="18"/>
                <w:szCs w:val="20"/>
              </w:rPr>
              <w:t xml:space="preserve">The IRP is a key opportunity for the Commission to guide the utility </w:t>
            </w:r>
            <w:r w:rsidR="005703EB">
              <w:rPr>
                <w:rFonts w:ascii="Times New Roman"/>
                <w:sz w:val="18"/>
                <w:szCs w:val="20"/>
              </w:rPr>
              <w:t>even in the absence of incentives or penalties, because the Commission is evaluatin</w:t>
            </w:r>
            <w:r w:rsidR="00D54AA6">
              <w:rPr>
                <w:rFonts w:ascii="Times New Roman"/>
                <w:sz w:val="18"/>
                <w:szCs w:val="20"/>
              </w:rPr>
              <w:t>g the utility</w:t>
            </w:r>
            <w:r w:rsidR="00D54AA6">
              <w:rPr>
                <w:rFonts w:ascii="Times New Roman"/>
                <w:sz w:val="18"/>
                <w:szCs w:val="20"/>
              </w:rPr>
              <w:t>’</w:t>
            </w:r>
            <w:r w:rsidR="00D54AA6">
              <w:rPr>
                <w:rFonts w:ascii="Times New Roman"/>
                <w:sz w:val="18"/>
                <w:szCs w:val="20"/>
              </w:rPr>
              <w:t>s resource portfolio suggestions</w:t>
            </w:r>
            <w:r w:rsidR="00D90A18">
              <w:rPr>
                <w:rFonts w:ascii="Times New Roman"/>
                <w:sz w:val="18"/>
                <w:szCs w:val="20"/>
              </w:rPr>
              <w:t xml:space="preserve"> against the full policy backdrop of the Commonwealth to include the Commonwealth Clean Energy Policy, the VCEA, and the Virginia Environmental Justice Act, to name a few.</w:t>
            </w:r>
          </w:p>
        </w:tc>
      </w:tr>
      <w:tr w:rsidR="00615B91" w:rsidRPr="00AB56BB" w14:paraId="513C320E" w14:textId="77777777" w:rsidTr="2539CAE0">
        <w:trPr>
          <w:cantSplit/>
        </w:trPr>
        <w:tc>
          <w:tcPr>
            <w:tcW w:w="1945" w:type="dxa"/>
            <w:vMerge/>
          </w:tcPr>
          <w:p w14:paraId="5DC3121C"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1F9AA945" w14:textId="2E8DE4EB" w:rsidR="00615B91" w:rsidRDefault="00615B91" w:rsidP="00754FD1">
            <w:pPr>
              <w:pStyle w:val="TableParagraph"/>
              <w:keepLines/>
              <w:widowControl/>
              <w:spacing w:line="207" w:lineRule="exact"/>
              <w:ind w:left="104"/>
              <w:rPr>
                <w:sz w:val="18"/>
                <w:szCs w:val="20"/>
              </w:rPr>
            </w:pPr>
            <w:r>
              <w:rPr>
                <w:sz w:val="18"/>
                <w:szCs w:val="20"/>
              </w:rPr>
              <w:t>Certificates of Public Need and Necessity (CPCN)</w:t>
            </w:r>
          </w:p>
        </w:tc>
        <w:tc>
          <w:tcPr>
            <w:tcW w:w="971" w:type="dxa"/>
            <w:gridSpan w:val="2"/>
          </w:tcPr>
          <w:p w14:paraId="0B5C8187" w14:textId="208DB107" w:rsidR="00615B91" w:rsidRPr="00AB56BB" w:rsidRDefault="00A75E01" w:rsidP="006D7164">
            <w:pPr>
              <w:pStyle w:val="TableParagraph"/>
              <w:keepLines/>
              <w:widowControl/>
              <w:jc w:val="center"/>
              <w:rPr>
                <w:rFonts w:ascii="Times New Roman"/>
                <w:sz w:val="18"/>
                <w:szCs w:val="20"/>
              </w:rPr>
            </w:pPr>
            <w:r>
              <w:rPr>
                <w:rFonts w:ascii="Times New Roman"/>
                <w:sz w:val="18"/>
                <w:szCs w:val="20"/>
              </w:rPr>
              <w:t>+</w:t>
            </w:r>
          </w:p>
        </w:tc>
        <w:tc>
          <w:tcPr>
            <w:tcW w:w="3296" w:type="dxa"/>
          </w:tcPr>
          <w:p w14:paraId="76E1DA20" w14:textId="79406C51" w:rsidR="00615B91" w:rsidRPr="00AB56BB" w:rsidRDefault="000372B8" w:rsidP="00754FD1">
            <w:pPr>
              <w:pStyle w:val="TableParagraph"/>
              <w:keepLines/>
              <w:widowControl/>
              <w:rPr>
                <w:rFonts w:ascii="Times New Roman"/>
                <w:sz w:val="18"/>
                <w:szCs w:val="20"/>
              </w:rPr>
            </w:pPr>
            <w:r>
              <w:rPr>
                <w:rFonts w:ascii="Times New Roman"/>
                <w:sz w:val="18"/>
                <w:szCs w:val="20"/>
              </w:rPr>
              <w:t>To the exten</w:t>
            </w:r>
            <w:r w:rsidR="008D5B64">
              <w:rPr>
                <w:rFonts w:ascii="Times New Roman"/>
                <w:sz w:val="18"/>
                <w:szCs w:val="20"/>
              </w:rPr>
              <w:t>t</w:t>
            </w:r>
            <w:r w:rsidR="00265B71">
              <w:rPr>
                <w:rFonts w:ascii="Times New Roman"/>
                <w:sz w:val="18"/>
                <w:szCs w:val="20"/>
              </w:rPr>
              <w:t xml:space="preserve"> </w:t>
            </w:r>
            <w:r>
              <w:rPr>
                <w:rFonts w:ascii="Times New Roman"/>
                <w:sz w:val="18"/>
                <w:szCs w:val="20"/>
              </w:rPr>
              <w:t xml:space="preserve">the </w:t>
            </w:r>
            <w:r w:rsidR="00265B71">
              <w:rPr>
                <w:rFonts w:ascii="Times New Roman"/>
                <w:sz w:val="18"/>
                <w:szCs w:val="20"/>
              </w:rPr>
              <w:t>Commission</w:t>
            </w:r>
            <w:r w:rsidR="00837FA4">
              <w:rPr>
                <w:rFonts w:ascii="Times New Roman"/>
                <w:sz w:val="18"/>
                <w:szCs w:val="20"/>
              </w:rPr>
              <w:t>’</w:t>
            </w:r>
            <w:r w:rsidR="00837FA4">
              <w:rPr>
                <w:rFonts w:ascii="Times New Roman"/>
                <w:sz w:val="18"/>
                <w:szCs w:val="20"/>
              </w:rPr>
              <w:t>s evaluation considers whether the utility has</w:t>
            </w:r>
            <w:r w:rsidR="00265B71">
              <w:rPr>
                <w:rFonts w:ascii="Times New Roman"/>
                <w:sz w:val="18"/>
                <w:szCs w:val="20"/>
              </w:rPr>
              <w:t xml:space="preserve"> </w:t>
            </w:r>
            <w:r w:rsidR="008D5B64">
              <w:rPr>
                <w:rFonts w:ascii="Times New Roman"/>
                <w:sz w:val="18"/>
                <w:szCs w:val="20"/>
              </w:rPr>
              <w:t>first</w:t>
            </w:r>
            <w:r w:rsidR="00265B71">
              <w:rPr>
                <w:rFonts w:ascii="Times New Roman"/>
                <w:sz w:val="18"/>
                <w:szCs w:val="20"/>
              </w:rPr>
              <w:t xml:space="preserve"> pursued</w:t>
            </w:r>
            <w:r w:rsidR="008D5B64">
              <w:rPr>
                <w:rFonts w:ascii="Times New Roman"/>
                <w:sz w:val="18"/>
                <w:szCs w:val="20"/>
              </w:rPr>
              <w:t xml:space="preserve"> peak demand</w:t>
            </w:r>
            <w:r w:rsidR="00265B71">
              <w:rPr>
                <w:rFonts w:ascii="Times New Roman"/>
                <w:sz w:val="18"/>
                <w:szCs w:val="20"/>
              </w:rPr>
              <w:t xml:space="preserve"> reduction and other avenues to</w:t>
            </w:r>
            <w:r w:rsidR="00E455D4">
              <w:rPr>
                <w:rFonts w:ascii="Times New Roman"/>
                <w:sz w:val="18"/>
                <w:szCs w:val="20"/>
              </w:rPr>
              <w:t xml:space="preserve"> influence the projected load</w:t>
            </w:r>
            <w:r w:rsidR="00840CBA">
              <w:rPr>
                <w:rFonts w:ascii="Times New Roman"/>
                <w:sz w:val="18"/>
                <w:szCs w:val="20"/>
              </w:rPr>
              <w:t xml:space="preserve"> before seeking to build a new resource, especially if the resource is fossil fuel based,</w:t>
            </w:r>
            <w:r w:rsidR="00E455D4">
              <w:rPr>
                <w:rFonts w:ascii="Times New Roman"/>
                <w:sz w:val="18"/>
                <w:szCs w:val="20"/>
              </w:rPr>
              <w:t xml:space="preserve"> determinations in a CPCN could be influential in directing the utility </w:t>
            </w:r>
            <w:r w:rsidR="001E49A4">
              <w:rPr>
                <w:rFonts w:ascii="Times New Roman"/>
                <w:sz w:val="18"/>
                <w:szCs w:val="20"/>
              </w:rPr>
              <w:t>what to pursue</w:t>
            </w:r>
            <w:r w:rsidR="00E455D4">
              <w:rPr>
                <w:rFonts w:ascii="Times New Roman"/>
                <w:sz w:val="18"/>
                <w:szCs w:val="20"/>
              </w:rPr>
              <w:t>.</w:t>
            </w:r>
          </w:p>
        </w:tc>
        <w:tc>
          <w:tcPr>
            <w:tcW w:w="4534" w:type="dxa"/>
          </w:tcPr>
          <w:p w14:paraId="517A05C5" w14:textId="77777777" w:rsidR="00615B91" w:rsidRPr="00AB56BB" w:rsidRDefault="00615B91" w:rsidP="00754FD1">
            <w:pPr>
              <w:pStyle w:val="TableParagraph"/>
              <w:keepLines/>
              <w:widowControl/>
              <w:rPr>
                <w:rFonts w:ascii="Times New Roman"/>
                <w:sz w:val="18"/>
                <w:szCs w:val="20"/>
              </w:rPr>
            </w:pPr>
          </w:p>
        </w:tc>
      </w:tr>
      <w:tr w:rsidR="00615B91" w:rsidRPr="00AB56BB" w14:paraId="4A37840C" w14:textId="77777777" w:rsidTr="2539CAE0">
        <w:trPr>
          <w:cantSplit/>
        </w:trPr>
        <w:tc>
          <w:tcPr>
            <w:tcW w:w="1945" w:type="dxa"/>
            <w:vMerge/>
          </w:tcPr>
          <w:p w14:paraId="1BD8D144"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67E0E675" w14:textId="471ACD6D" w:rsidR="00615B91" w:rsidRDefault="00615B91" w:rsidP="00754FD1">
            <w:pPr>
              <w:pStyle w:val="TableParagraph"/>
              <w:keepLines/>
              <w:widowControl/>
              <w:spacing w:line="207" w:lineRule="exact"/>
              <w:ind w:left="104"/>
              <w:rPr>
                <w:sz w:val="18"/>
                <w:szCs w:val="20"/>
              </w:rPr>
            </w:pPr>
            <w:r>
              <w:rPr>
                <w:sz w:val="18"/>
                <w:szCs w:val="20"/>
              </w:rPr>
              <w:t>Rate design (including universal service fee)</w:t>
            </w:r>
          </w:p>
        </w:tc>
        <w:tc>
          <w:tcPr>
            <w:tcW w:w="971" w:type="dxa"/>
            <w:gridSpan w:val="2"/>
          </w:tcPr>
          <w:p w14:paraId="39F5FEA8" w14:textId="22536602" w:rsidR="00615B91" w:rsidRPr="00AB56BB" w:rsidRDefault="008848E9" w:rsidP="006D7164">
            <w:pPr>
              <w:pStyle w:val="TableParagraph"/>
              <w:keepLines/>
              <w:widowControl/>
              <w:jc w:val="center"/>
              <w:rPr>
                <w:rFonts w:ascii="Times New Roman"/>
                <w:sz w:val="18"/>
                <w:szCs w:val="20"/>
              </w:rPr>
            </w:pPr>
            <w:r>
              <w:rPr>
                <w:rFonts w:ascii="Times New Roman"/>
                <w:sz w:val="18"/>
                <w:szCs w:val="20"/>
              </w:rPr>
              <w:t>0</w:t>
            </w:r>
          </w:p>
        </w:tc>
        <w:tc>
          <w:tcPr>
            <w:tcW w:w="3296" w:type="dxa"/>
          </w:tcPr>
          <w:p w14:paraId="2D3738F1" w14:textId="77777777" w:rsidR="00615B91" w:rsidRPr="00AB56BB" w:rsidRDefault="00615B91" w:rsidP="00754FD1">
            <w:pPr>
              <w:pStyle w:val="TableParagraph"/>
              <w:keepLines/>
              <w:widowControl/>
              <w:rPr>
                <w:rFonts w:ascii="Times New Roman"/>
                <w:sz w:val="18"/>
                <w:szCs w:val="20"/>
              </w:rPr>
            </w:pPr>
          </w:p>
        </w:tc>
        <w:tc>
          <w:tcPr>
            <w:tcW w:w="4534" w:type="dxa"/>
          </w:tcPr>
          <w:p w14:paraId="3A903B16" w14:textId="77777777" w:rsidR="00615B91" w:rsidRPr="00AB56BB" w:rsidRDefault="00615B91" w:rsidP="00754FD1">
            <w:pPr>
              <w:pStyle w:val="TableParagraph"/>
              <w:keepLines/>
              <w:widowControl/>
              <w:rPr>
                <w:rFonts w:ascii="Times New Roman"/>
                <w:sz w:val="18"/>
                <w:szCs w:val="20"/>
              </w:rPr>
            </w:pPr>
          </w:p>
        </w:tc>
      </w:tr>
      <w:tr w:rsidR="00615B91" w:rsidRPr="00AB56BB" w14:paraId="70B15E51" w14:textId="77777777" w:rsidTr="2539CAE0">
        <w:trPr>
          <w:cantSplit/>
        </w:trPr>
        <w:tc>
          <w:tcPr>
            <w:tcW w:w="1945" w:type="dxa"/>
            <w:vMerge/>
          </w:tcPr>
          <w:p w14:paraId="4ED19E05" w14:textId="77777777" w:rsidR="00615B91" w:rsidRDefault="00615B91" w:rsidP="005448D6">
            <w:pPr>
              <w:pStyle w:val="TableParagraph"/>
              <w:keepLines/>
              <w:widowControl/>
              <w:spacing w:line="268" w:lineRule="auto"/>
              <w:ind w:left="60"/>
              <w:rPr>
                <w:b/>
                <w:spacing w:val="-2"/>
                <w:sz w:val="18"/>
                <w:szCs w:val="20"/>
              </w:rPr>
            </w:pPr>
          </w:p>
        </w:tc>
        <w:tc>
          <w:tcPr>
            <w:tcW w:w="2217" w:type="dxa"/>
          </w:tcPr>
          <w:p w14:paraId="5AA8019A" w14:textId="38C5E925" w:rsidR="00615B91" w:rsidRDefault="00615B91" w:rsidP="00754FD1">
            <w:pPr>
              <w:pStyle w:val="TableParagraph"/>
              <w:keepLines/>
              <w:widowControl/>
              <w:spacing w:line="207" w:lineRule="exact"/>
              <w:ind w:left="104"/>
              <w:rPr>
                <w:sz w:val="18"/>
                <w:szCs w:val="20"/>
              </w:rPr>
            </w:pPr>
            <w:r>
              <w:rPr>
                <w:sz w:val="18"/>
                <w:szCs w:val="20"/>
              </w:rPr>
              <w:t>Pilot programs</w:t>
            </w:r>
          </w:p>
        </w:tc>
        <w:tc>
          <w:tcPr>
            <w:tcW w:w="971" w:type="dxa"/>
            <w:gridSpan w:val="2"/>
          </w:tcPr>
          <w:p w14:paraId="7A525E56" w14:textId="27866567" w:rsidR="00615B91" w:rsidRPr="00AB56BB" w:rsidRDefault="004B1D28" w:rsidP="006D7164">
            <w:pPr>
              <w:pStyle w:val="TableParagraph"/>
              <w:keepLines/>
              <w:widowControl/>
              <w:jc w:val="center"/>
              <w:rPr>
                <w:rFonts w:ascii="Times New Roman"/>
                <w:sz w:val="18"/>
                <w:szCs w:val="20"/>
              </w:rPr>
            </w:pPr>
            <w:r>
              <w:rPr>
                <w:rFonts w:ascii="Times New Roman"/>
                <w:sz w:val="18"/>
                <w:szCs w:val="20"/>
              </w:rPr>
              <w:t>+</w:t>
            </w:r>
          </w:p>
        </w:tc>
        <w:tc>
          <w:tcPr>
            <w:tcW w:w="3296" w:type="dxa"/>
          </w:tcPr>
          <w:p w14:paraId="44FA10F0" w14:textId="093B0B30" w:rsidR="009712F7" w:rsidRPr="00AB56BB" w:rsidRDefault="008848E9" w:rsidP="00754FD1">
            <w:pPr>
              <w:pStyle w:val="TableParagraph"/>
              <w:keepLines/>
              <w:widowControl/>
              <w:rPr>
                <w:rFonts w:ascii="Times New Roman"/>
                <w:sz w:val="18"/>
                <w:szCs w:val="20"/>
              </w:rPr>
            </w:pPr>
            <w:r>
              <w:rPr>
                <w:rFonts w:ascii="Times New Roman"/>
                <w:sz w:val="18"/>
                <w:szCs w:val="20"/>
              </w:rPr>
              <w:t xml:space="preserve">Pilot programs for storage options that promote and enable load shifting </w:t>
            </w:r>
            <w:r w:rsidR="009712F7">
              <w:rPr>
                <w:rFonts w:ascii="Times New Roman"/>
                <w:sz w:val="18"/>
                <w:szCs w:val="20"/>
              </w:rPr>
              <w:t>could be informative to peak demand reduction efforts. Sim</w:t>
            </w:r>
            <w:r w:rsidR="00550C4D">
              <w:rPr>
                <w:rFonts w:ascii="Times New Roman"/>
                <w:sz w:val="18"/>
                <w:szCs w:val="20"/>
              </w:rPr>
              <w:t xml:space="preserve">ilarly, pilots that test time of use/day programs and EV managed charging with the goal of developing permanent programming and potentially changing the default </w:t>
            </w:r>
            <w:r w:rsidR="002255A5">
              <w:rPr>
                <w:rFonts w:ascii="Times New Roman"/>
                <w:sz w:val="18"/>
                <w:szCs w:val="20"/>
              </w:rPr>
              <w:t>rate structure could be informative.</w:t>
            </w:r>
          </w:p>
        </w:tc>
        <w:tc>
          <w:tcPr>
            <w:tcW w:w="4534" w:type="dxa"/>
          </w:tcPr>
          <w:p w14:paraId="48689F3A" w14:textId="77777777" w:rsidR="00615B91" w:rsidRPr="00AB56BB" w:rsidRDefault="00615B91" w:rsidP="00754FD1">
            <w:pPr>
              <w:pStyle w:val="TableParagraph"/>
              <w:keepLines/>
              <w:widowControl/>
              <w:rPr>
                <w:rFonts w:ascii="Times New Roman"/>
                <w:sz w:val="18"/>
                <w:szCs w:val="20"/>
              </w:rPr>
            </w:pPr>
          </w:p>
        </w:tc>
      </w:tr>
    </w:tbl>
    <w:p w14:paraId="410F3549" w14:textId="77777777" w:rsidR="00754FD1" w:rsidRDefault="00754FD1">
      <w:pPr>
        <w:pStyle w:val="BodyText"/>
      </w:pPr>
    </w:p>
    <w:p w14:paraId="566D6757" w14:textId="7B8BD019" w:rsidR="00754FD1" w:rsidRPr="00754FD1" w:rsidRDefault="00754FD1">
      <w:pPr>
        <w:pStyle w:val="BodyText"/>
        <w:rPr>
          <w:sz w:val="28"/>
          <w:szCs w:val="28"/>
        </w:rPr>
      </w:pPr>
      <w:r>
        <w:rPr>
          <w:sz w:val="28"/>
          <w:szCs w:val="28"/>
        </w:rPr>
        <w:t>Overall Assessment</w:t>
      </w:r>
    </w:p>
    <w:p w14:paraId="104E2C31" w14:textId="77777777" w:rsidR="00754FD1" w:rsidRDefault="00754FD1">
      <w:pPr>
        <w:pStyle w:val="BodyText"/>
      </w:pPr>
    </w:p>
    <w:tbl>
      <w:tblPr>
        <w:tblStyle w:val="TableGrid"/>
        <w:tblW w:w="0" w:type="auto"/>
        <w:tblInd w:w="288" w:type="dxa"/>
        <w:tblLook w:val="04A0" w:firstRow="1" w:lastRow="0" w:firstColumn="1" w:lastColumn="0" w:noHBand="0" w:noVBand="1"/>
      </w:tblPr>
      <w:tblGrid>
        <w:gridCol w:w="3960"/>
        <w:gridCol w:w="1530"/>
        <w:gridCol w:w="7470"/>
      </w:tblGrid>
      <w:tr w:rsidR="00754FD1" w14:paraId="04E62DB9" w14:textId="77777777" w:rsidTr="00754FD1">
        <w:tc>
          <w:tcPr>
            <w:tcW w:w="5490" w:type="dxa"/>
            <w:gridSpan w:val="2"/>
            <w:shd w:val="clear" w:color="auto" w:fill="3B7E32"/>
          </w:tcPr>
          <w:p w14:paraId="1FC4C6BD" w14:textId="1538FE8A" w:rsidR="00754FD1" w:rsidRDefault="00754FD1">
            <w:pPr>
              <w:pStyle w:val="BodyText"/>
              <w:spacing w:before="63"/>
            </w:pPr>
            <w:r>
              <w:rPr>
                <w:b/>
                <w:color w:val="FFFFFF"/>
              </w:rPr>
              <w:t>Overall, does the existing regulatory framework</w:t>
            </w:r>
            <w:r>
              <w:rPr>
                <w:b/>
                <w:color w:val="FFFFFF"/>
                <w:spacing w:val="-11"/>
              </w:rPr>
              <w:t xml:space="preserve"> </w:t>
            </w:r>
            <w:r>
              <w:rPr>
                <w:b/>
                <w:color w:val="FFFFFF"/>
              </w:rPr>
              <w:t>support</w:t>
            </w:r>
            <w:r>
              <w:rPr>
                <w:b/>
                <w:color w:val="FFFFFF"/>
                <w:spacing w:val="-9"/>
              </w:rPr>
              <w:t xml:space="preserve"> </w:t>
            </w:r>
            <w:r>
              <w:rPr>
                <w:b/>
                <w:color w:val="FFFFFF"/>
              </w:rPr>
              <w:t>achievement</w:t>
            </w:r>
            <w:r>
              <w:rPr>
                <w:b/>
                <w:color w:val="FFFFFF"/>
                <w:spacing w:val="-12"/>
              </w:rPr>
              <w:t xml:space="preserve"> </w:t>
            </w:r>
            <w:r>
              <w:rPr>
                <w:b/>
                <w:color w:val="FFFFFF"/>
              </w:rPr>
              <w:t>of</w:t>
            </w:r>
            <w:r>
              <w:rPr>
                <w:b/>
                <w:color w:val="FFFFFF"/>
                <w:spacing w:val="-12"/>
              </w:rPr>
              <w:t xml:space="preserve"> </w:t>
            </w:r>
            <w:r>
              <w:rPr>
                <w:b/>
                <w:color w:val="FFFFFF"/>
              </w:rPr>
              <w:t>th</w:t>
            </w:r>
            <w:r w:rsidR="004E09CA">
              <w:rPr>
                <w:b/>
                <w:color w:val="FFFFFF"/>
              </w:rPr>
              <w:t>e identified</w:t>
            </w:r>
            <w:r>
              <w:rPr>
                <w:b/>
                <w:color w:val="FFFFFF"/>
              </w:rPr>
              <w:t xml:space="preserve"> </w:t>
            </w:r>
            <w:r>
              <w:rPr>
                <w:b/>
                <w:color w:val="FFFFFF"/>
                <w:spacing w:val="-2"/>
              </w:rPr>
              <w:t>outcome?</w:t>
            </w:r>
          </w:p>
        </w:tc>
        <w:tc>
          <w:tcPr>
            <w:tcW w:w="7470" w:type="dxa"/>
            <w:shd w:val="clear" w:color="auto" w:fill="3B7E32"/>
          </w:tcPr>
          <w:p w14:paraId="5B090A8A" w14:textId="0C3864D9" w:rsidR="00754FD1" w:rsidRDefault="00754FD1">
            <w:pPr>
              <w:pStyle w:val="BodyText"/>
              <w:spacing w:before="63"/>
            </w:pPr>
            <w:r>
              <w:rPr>
                <w:b/>
                <w:color w:val="FFFFFF"/>
                <w:spacing w:val="-2"/>
              </w:rPr>
              <w:t>Discussion</w:t>
            </w:r>
          </w:p>
        </w:tc>
      </w:tr>
      <w:tr w:rsidR="00615B91" w14:paraId="1A29D26F" w14:textId="77777777" w:rsidTr="004E09CA">
        <w:trPr>
          <w:trHeight w:val="905"/>
        </w:trPr>
        <w:tc>
          <w:tcPr>
            <w:tcW w:w="3960" w:type="dxa"/>
          </w:tcPr>
          <w:p w14:paraId="0D74C0AA" w14:textId="0427D572" w:rsidR="00615B91" w:rsidRPr="00754FD1" w:rsidRDefault="00754FD1">
            <w:pPr>
              <w:pStyle w:val="BodyText"/>
              <w:spacing w:before="63"/>
            </w:pPr>
            <w:r>
              <w:rPr>
                <w:b/>
                <w:bCs/>
              </w:rPr>
              <w:t xml:space="preserve">+ (YES) </w:t>
            </w:r>
            <w:r>
              <w:t>incents achievement</w:t>
            </w:r>
          </w:p>
        </w:tc>
        <w:tc>
          <w:tcPr>
            <w:tcW w:w="1530" w:type="dxa"/>
          </w:tcPr>
          <w:p w14:paraId="531004E9" w14:textId="77777777" w:rsidR="00615B91" w:rsidRDefault="00615B91">
            <w:pPr>
              <w:pStyle w:val="BodyText"/>
              <w:spacing w:before="63"/>
            </w:pPr>
          </w:p>
        </w:tc>
        <w:tc>
          <w:tcPr>
            <w:tcW w:w="7470" w:type="dxa"/>
          </w:tcPr>
          <w:p w14:paraId="28993F9A" w14:textId="77777777" w:rsidR="00615B91" w:rsidRDefault="00615B91">
            <w:pPr>
              <w:pStyle w:val="BodyText"/>
              <w:spacing w:before="63"/>
            </w:pPr>
          </w:p>
        </w:tc>
      </w:tr>
      <w:tr w:rsidR="00615B91" w14:paraId="36EB2410" w14:textId="77777777" w:rsidTr="004E09CA">
        <w:trPr>
          <w:trHeight w:val="797"/>
        </w:trPr>
        <w:tc>
          <w:tcPr>
            <w:tcW w:w="3960" w:type="dxa"/>
          </w:tcPr>
          <w:p w14:paraId="517ABDD8" w14:textId="16A5B4B2" w:rsidR="00615B91" w:rsidRPr="00754FD1" w:rsidRDefault="00754FD1">
            <w:pPr>
              <w:pStyle w:val="BodyText"/>
              <w:spacing w:before="63"/>
            </w:pPr>
            <w:r>
              <w:rPr>
                <w:b/>
                <w:bCs/>
              </w:rPr>
              <w:t>0 (NO IMPACT)</w:t>
            </w:r>
          </w:p>
        </w:tc>
        <w:tc>
          <w:tcPr>
            <w:tcW w:w="1530" w:type="dxa"/>
          </w:tcPr>
          <w:p w14:paraId="6CD1F948" w14:textId="77777777" w:rsidR="00615B91" w:rsidRDefault="00615B91">
            <w:pPr>
              <w:pStyle w:val="BodyText"/>
              <w:spacing w:before="63"/>
            </w:pPr>
          </w:p>
        </w:tc>
        <w:tc>
          <w:tcPr>
            <w:tcW w:w="7470" w:type="dxa"/>
          </w:tcPr>
          <w:p w14:paraId="4E553BFC" w14:textId="77777777" w:rsidR="00615B91" w:rsidRDefault="00615B91">
            <w:pPr>
              <w:pStyle w:val="BodyText"/>
              <w:spacing w:before="63"/>
            </w:pPr>
          </w:p>
        </w:tc>
      </w:tr>
      <w:tr w:rsidR="00615B91" w14:paraId="3CA1F8FF" w14:textId="77777777" w:rsidTr="004E09CA">
        <w:trPr>
          <w:trHeight w:val="905"/>
        </w:trPr>
        <w:tc>
          <w:tcPr>
            <w:tcW w:w="3960" w:type="dxa"/>
          </w:tcPr>
          <w:p w14:paraId="75D35AC4" w14:textId="0C06DB50" w:rsidR="00615B91" w:rsidRPr="00754FD1" w:rsidRDefault="00754FD1">
            <w:pPr>
              <w:pStyle w:val="BodyText"/>
              <w:spacing w:before="63"/>
            </w:pPr>
            <w:r>
              <w:rPr>
                <w:b/>
                <w:bCs/>
              </w:rPr>
              <w:t xml:space="preserve">- (NO) </w:t>
            </w:r>
            <w:r w:rsidRPr="00754FD1">
              <w:t>disincentivizes achievement</w:t>
            </w:r>
          </w:p>
        </w:tc>
        <w:tc>
          <w:tcPr>
            <w:tcW w:w="1530" w:type="dxa"/>
          </w:tcPr>
          <w:p w14:paraId="484E130E" w14:textId="6F77884A" w:rsidR="00615B91" w:rsidRDefault="002255A5">
            <w:pPr>
              <w:pStyle w:val="BodyText"/>
              <w:spacing w:before="63"/>
            </w:pPr>
            <w:r>
              <w:t>X</w:t>
            </w:r>
          </w:p>
        </w:tc>
        <w:tc>
          <w:tcPr>
            <w:tcW w:w="7470" w:type="dxa"/>
          </w:tcPr>
          <w:p w14:paraId="763DD1AE" w14:textId="5B8CCF40" w:rsidR="00615B91" w:rsidRDefault="002255A5">
            <w:pPr>
              <w:pStyle w:val="BodyText"/>
              <w:spacing w:before="63"/>
            </w:pPr>
            <w:r>
              <w:t xml:space="preserve">In may respects the current structure has little to no impact on peak demand reduction, but most especially the construct that </w:t>
            </w:r>
            <w:r w:rsidR="00FC620F">
              <w:t>incentives</w:t>
            </w:r>
            <w:r>
              <w:t xml:space="preserve"> </w:t>
            </w:r>
            <w:r w:rsidR="00FC620F">
              <w:t xml:space="preserve">capital investment in expensive generation, </w:t>
            </w:r>
            <w:r w:rsidR="00AB006B">
              <w:t>and disincents load shifting, energy efficiency, and increasing clean energy,</w:t>
            </w:r>
            <w:r w:rsidR="006D5E72">
              <w:t xml:space="preserve"> actively disincentivizes peak load reduction.</w:t>
            </w:r>
          </w:p>
        </w:tc>
      </w:tr>
    </w:tbl>
    <w:p w14:paraId="40DB61E6" w14:textId="77777777" w:rsidR="00615B91" w:rsidRDefault="00615B91">
      <w:pPr>
        <w:pStyle w:val="BodyText"/>
        <w:spacing w:before="63"/>
      </w:pPr>
    </w:p>
    <w:sectPr w:rsidR="00615B91">
      <w:pgSz w:w="15840" w:h="12240" w:orient="landscape"/>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0EBD2"/>
    <w:multiLevelType w:val="hybridMultilevel"/>
    <w:tmpl w:val="FFFFFFFF"/>
    <w:lvl w:ilvl="0" w:tplc="7280366A">
      <w:start w:val="1"/>
      <w:numFmt w:val="bullet"/>
      <w:lvlText w:val=""/>
      <w:lvlJc w:val="left"/>
      <w:pPr>
        <w:ind w:left="720" w:hanging="360"/>
      </w:pPr>
      <w:rPr>
        <w:rFonts w:ascii="Symbol" w:hAnsi="Symbol" w:hint="default"/>
      </w:rPr>
    </w:lvl>
    <w:lvl w:ilvl="1" w:tplc="C8F4C8D4">
      <w:start w:val="1"/>
      <w:numFmt w:val="bullet"/>
      <w:lvlText w:val="o"/>
      <w:lvlJc w:val="left"/>
      <w:pPr>
        <w:ind w:left="1440" w:hanging="360"/>
      </w:pPr>
      <w:rPr>
        <w:rFonts w:ascii="Courier New" w:hAnsi="Courier New" w:hint="default"/>
      </w:rPr>
    </w:lvl>
    <w:lvl w:ilvl="2" w:tplc="1BE43ED0">
      <w:start w:val="1"/>
      <w:numFmt w:val="bullet"/>
      <w:lvlText w:val=""/>
      <w:lvlJc w:val="left"/>
      <w:pPr>
        <w:ind w:left="2160" w:hanging="360"/>
      </w:pPr>
      <w:rPr>
        <w:rFonts w:ascii="Wingdings" w:hAnsi="Wingdings" w:hint="default"/>
      </w:rPr>
    </w:lvl>
    <w:lvl w:ilvl="3" w:tplc="0D5E17F0">
      <w:start w:val="1"/>
      <w:numFmt w:val="bullet"/>
      <w:lvlText w:val=""/>
      <w:lvlJc w:val="left"/>
      <w:pPr>
        <w:ind w:left="2880" w:hanging="360"/>
      </w:pPr>
      <w:rPr>
        <w:rFonts w:ascii="Symbol" w:hAnsi="Symbol" w:hint="default"/>
      </w:rPr>
    </w:lvl>
    <w:lvl w:ilvl="4" w:tplc="BB3A2D54">
      <w:start w:val="1"/>
      <w:numFmt w:val="bullet"/>
      <w:lvlText w:val="o"/>
      <w:lvlJc w:val="left"/>
      <w:pPr>
        <w:ind w:left="3600" w:hanging="360"/>
      </w:pPr>
      <w:rPr>
        <w:rFonts w:ascii="Courier New" w:hAnsi="Courier New" w:hint="default"/>
      </w:rPr>
    </w:lvl>
    <w:lvl w:ilvl="5" w:tplc="753A9798">
      <w:start w:val="1"/>
      <w:numFmt w:val="bullet"/>
      <w:lvlText w:val=""/>
      <w:lvlJc w:val="left"/>
      <w:pPr>
        <w:ind w:left="4320" w:hanging="360"/>
      </w:pPr>
      <w:rPr>
        <w:rFonts w:ascii="Wingdings" w:hAnsi="Wingdings" w:hint="default"/>
      </w:rPr>
    </w:lvl>
    <w:lvl w:ilvl="6" w:tplc="3A6C934A">
      <w:start w:val="1"/>
      <w:numFmt w:val="bullet"/>
      <w:lvlText w:val=""/>
      <w:lvlJc w:val="left"/>
      <w:pPr>
        <w:ind w:left="5040" w:hanging="360"/>
      </w:pPr>
      <w:rPr>
        <w:rFonts w:ascii="Symbol" w:hAnsi="Symbol" w:hint="default"/>
      </w:rPr>
    </w:lvl>
    <w:lvl w:ilvl="7" w:tplc="0372994A">
      <w:start w:val="1"/>
      <w:numFmt w:val="bullet"/>
      <w:lvlText w:val="o"/>
      <w:lvlJc w:val="left"/>
      <w:pPr>
        <w:ind w:left="5760" w:hanging="360"/>
      </w:pPr>
      <w:rPr>
        <w:rFonts w:ascii="Courier New" w:hAnsi="Courier New" w:hint="default"/>
      </w:rPr>
    </w:lvl>
    <w:lvl w:ilvl="8" w:tplc="4DF297EA">
      <w:start w:val="1"/>
      <w:numFmt w:val="bullet"/>
      <w:lvlText w:val=""/>
      <w:lvlJc w:val="left"/>
      <w:pPr>
        <w:ind w:left="6480" w:hanging="360"/>
      </w:pPr>
      <w:rPr>
        <w:rFonts w:ascii="Wingdings" w:hAnsi="Wingdings" w:hint="default"/>
      </w:rPr>
    </w:lvl>
  </w:abstractNum>
  <w:abstractNum w:abstractNumId="1" w15:restartNumberingAfterBreak="0">
    <w:nsid w:val="757F617A"/>
    <w:multiLevelType w:val="hybridMultilevel"/>
    <w:tmpl w:val="BE124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051922">
    <w:abstractNumId w:val="0"/>
  </w:num>
  <w:num w:numId="2" w16cid:durableId="104347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1124"/>
    <w:rsid w:val="00003EBB"/>
    <w:rsid w:val="00011C8A"/>
    <w:rsid w:val="00014931"/>
    <w:rsid w:val="00024D41"/>
    <w:rsid w:val="000268C5"/>
    <w:rsid w:val="00030B40"/>
    <w:rsid w:val="00036883"/>
    <w:rsid w:val="000372B8"/>
    <w:rsid w:val="000460F7"/>
    <w:rsid w:val="00065FA8"/>
    <w:rsid w:val="00067582"/>
    <w:rsid w:val="00073979"/>
    <w:rsid w:val="000746B1"/>
    <w:rsid w:val="00080720"/>
    <w:rsid w:val="00083862"/>
    <w:rsid w:val="000868B8"/>
    <w:rsid w:val="00093FE1"/>
    <w:rsid w:val="000B061E"/>
    <w:rsid w:val="000B6FEE"/>
    <w:rsid w:val="000C009D"/>
    <w:rsid w:val="000C1A37"/>
    <w:rsid w:val="000C2F12"/>
    <w:rsid w:val="000C540E"/>
    <w:rsid w:val="000D5D3E"/>
    <w:rsid w:val="000D6A65"/>
    <w:rsid w:val="000E52BF"/>
    <w:rsid w:val="00102191"/>
    <w:rsid w:val="0012615E"/>
    <w:rsid w:val="00133B78"/>
    <w:rsid w:val="001347A7"/>
    <w:rsid w:val="00151704"/>
    <w:rsid w:val="00156AD0"/>
    <w:rsid w:val="001572F5"/>
    <w:rsid w:val="0016294A"/>
    <w:rsid w:val="00164208"/>
    <w:rsid w:val="00170B8D"/>
    <w:rsid w:val="00171D14"/>
    <w:rsid w:val="00180956"/>
    <w:rsid w:val="00180D67"/>
    <w:rsid w:val="00180FD0"/>
    <w:rsid w:val="00184101"/>
    <w:rsid w:val="001B29C9"/>
    <w:rsid w:val="001C341F"/>
    <w:rsid w:val="001D3F19"/>
    <w:rsid w:val="001D7C93"/>
    <w:rsid w:val="001E2DEC"/>
    <w:rsid w:val="001E49A4"/>
    <w:rsid w:val="002017F5"/>
    <w:rsid w:val="0020188F"/>
    <w:rsid w:val="00202A48"/>
    <w:rsid w:val="002255A5"/>
    <w:rsid w:val="00227669"/>
    <w:rsid w:val="00231CD8"/>
    <w:rsid w:val="002328B9"/>
    <w:rsid w:val="002330C2"/>
    <w:rsid w:val="00244057"/>
    <w:rsid w:val="00244168"/>
    <w:rsid w:val="002470FA"/>
    <w:rsid w:val="0025376A"/>
    <w:rsid w:val="0025592F"/>
    <w:rsid w:val="00265B71"/>
    <w:rsid w:val="00266135"/>
    <w:rsid w:val="00267426"/>
    <w:rsid w:val="0027459D"/>
    <w:rsid w:val="002772F7"/>
    <w:rsid w:val="0028509B"/>
    <w:rsid w:val="00291596"/>
    <w:rsid w:val="00291B6D"/>
    <w:rsid w:val="002A4C87"/>
    <w:rsid w:val="002B2930"/>
    <w:rsid w:val="002B686F"/>
    <w:rsid w:val="002C5955"/>
    <w:rsid w:val="002D67BC"/>
    <w:rsid w:val="002D6FA4"/>
    <w:rsid w:val="002D741E"/>
    <w:rsid w:val="002E4B1D"/>
    <w:rsid w:val="002E72B9"/>
    <w:rsid w:val="00301124"/>
    <w:rsid w:val="00304AF6"/>
    <w:rsid w:val="0034215D"/>
    <w:rsid w:val="00355536"/>
    <w:rsid w:val="00376BB9"/>
    <w:rsid w:val="003841E6"/>
    <w:rsid w:val="003913AC"/>
    <w:rsid w:val="00391AF2"/>
    <w:rsid w:val="00392ADD"/>
    <w:rsid w:val="00397E55"/>
    <w:rsid w:val="003A4274"/>
    <w:rsid w:val="003B2653"/>
    <w:rsid w:val="003C30FC"/>
    <w:rsid w:val="003D5C0B"/>
    <w:rsid w:val="003E2469"/>
    <w:rsid w:val="003F2EF2"/>
    <w:rsid w:val="003F4240"/>
    <w:rsid w:val="004045BF"/>
    <w:rsid w:val="00407EE7"/>
    <w:rsid w:val="004137AD"/>
    <w:rsid w:val="00413A72"/>
    <w:rsid w:val="00417B86"/>
    <w:rsid w:val="00424FA3"/>
    <w:rsid w:val="00436984"/>
    <w:rsid w:val="00465EDD"/>
    <w:rsid w:val="0047002F"/>
    <w:rsid w:val="00477D1C"/>
    <w:rsid w:val="00496FF4"/>
    <w:rsid w:val="004A2957"/>
    <w:rsid w:val="004A3E65"/>
    <w:rsid w:val="004B1D28"/>
    <w:rsid w:val="004B4755"/>
    <w:rsid w:val="004B76A9"/>
    <w:rsid w:val="004C22FC"/>
    <w:rsid w:val="004C7A24"/>
    <w:rsid w:val="004D1EB0"/>
    <w:rsid w:val="004D2367"/>
    <w:rsid w:val="004D30E4"/>
    <w:rsid w:val="004D3195"/>
    <w:rsid w:val="004E09CA"/>
    <w:rsid w:val="004E1CCD"/>
    <w:rsid w:val="004E653E"/>
    <w:rsid w:val="005176C8"/>
    <w:rsid w:val="00525801"/>
    <w:rsid w:val="005258EF"/>
    <w:rsid w:val="005266A6"/>
    <w:rsid w:val="00530039"/>
    <w:rsid w:val="005448D6"/>
    <w:rsid w:val="00545EFF"/>
    <w:rsid w:val="005475E0"/>
    <w:rsid w:val="00547D7E"/>
    <w:rsid w:val="00550C4D"/>
    <w:rsid w:val="0055798F"/>
    <w:rsid w:val="00561495"/>
    <w:rsid w:val="005703EB"/>
    <w:rsid w:val="00573C42"/>
    <w:rsid w:val="00576840"/>
    <w:rsid w:val="005907CD"/>
    <w:rsid w:val="005947D3"/>
    <w:rsid w:val="005A22A8"/>
    <w:rsid w:val="005A69A8"/>
    <w:rsid w:val="005B30CB"/>
    <w:rsid w:val="005C345C"/>
    <w:rsid w:val="005C7B09"/>
    <w:rsid w:val="005D0F2A"/>
    <w:rsid w:val="005D442B"/>
    <w:rsid w:val="005E3970"/>
    <w:rsid w:val="005F1492"/>
    <w:rsid w:val="005F172D"/>
    <w:rsid w:val="005F257D"/>
    <w:rsid w:val="00614208"/>
    <w:rsid w:val="00615B91"/>
    <w:rsid w:val="006253AE"/>
    <w:rsid w:val="00626608"/>
    <w:rsid w:val="0063094C"/>
    <w:rsid w:val="00656C5D"/>
    <w:rsid w:val="006645A1"/>
    <w:rsid w:val="00680819"/>
    <w:rsid w:val="006816E1"/>
    <w:rsid w:val="006819D3"/>
    <w:rsid w:val="00682028"/>
    <w:rsid w:val="00690C71"/>
    <w:rsid w:val="00691EC5"/>
    <w:rsid w:val="0069659F"/>
    <w:rsid w:val="006A3122"/>
    <w:rsid w:val="006B38B8"/>
    <w:rsid w:val="006B511A"/>
    <w:rsid w:val="006B7EF3"/>
    <w:rsid w:val="006C2FDE"/>
    <w:rsid w:val="006D132E"/>
    <w:rsid w:val="006D5E72"/>
    <w:rsid w:val="006D7164"/>
    <w:rsid w:val="006F1360"/>
    <w:rsid w:val="00710EAA"/>
    <w:rsid w:val="00714310"/>
    <w:rsid w:val="007348A5"/>
    <w:rsid w:val="007369FA"/>
    <w:rsid w:val="00750864"/>
    <w:rsid w:val="00751950"/>
    <w:rsid w:val="00754FD1"/>
    <w:rsid w:val="007629A1"/>
    <w:rsid w:val="00770BDF"/>
    <w:rsid w:val="007808A6"/>
    <w:rsid w:val="007863A1"/>
    <w:rsid w:val="00793FE9"/>
    <w:rsid w:val="0079634D"/>
    <w:rsid w:val="007C6105"/>
    <w:rsid w:val="007D75B2"/>
    <w:rsid w:val="007E547C"/>
    <w:rsid w:val="007F02AE"/>
    <w:rsid w:val="00805A7A"/>
    <w:rsid w:val="00805C9F"/>
    <w:rsid w:val="00814768"/>
    <w:rsid w:val="0081649F"/>
    <w:rsid w:val="008210CD"/>
    <w:rsid w:val="00832CCF"/>
    <w:rsid w:val="00837FA4"/>
    <w:rsid w:val="008402C2"/>
    <w:rsid w:val="00840CBA"/>
    <w:rsid w:val="00851168"/>
    <w:rsid w:val="008848E9"/>
    <w:rsid w:val="00894492"/>
    <w:rsid w:val="00897A1C"/>
    <w:rsid w:val="008B5900"/>
    <w:rsid w:val="008C5672"/>
    <w:rsid w:val="008D1F0D"/>
    <w:rsid w:val="008D5B64"/>
    <w:rsid w:val="008D5F1D"/>
    <w:rsid w:val="008F33F0"/>
    <w:rsid w:val="008F4C51"/>
    <w:rsid w:val="00925C97"/>
    <w:rsid w:val="009410E2"/>
    <w:rsid w:val="009442BB"/>
    <w:rsid w:val="009527B4"/>
    <w:rsid w:val="00954D7F"/>
    <w:rsid w:val="009712F7"/>
    <w:rsid w:val="00975722"/>
    <w:rsid w:val="00985A5C"/>
    <w:rsid w:val="0099153C"/>
    <w:rsid w:val="009A063C"/>
    <w:rsid w:val="009A4357"/>
    <w:rsid w:val="009A4618"/>
    <w:rsid w:val="009B706B"/>
    <w:rsid w:val="009D0627"/>
    <w:rsid w:val="009D3FF2"/>
    <w:rsid w:val="009E0C40"/>
    <w:rsid w:val="009E12B3"/>
    <w:rsid w:val="009E29CD"/>
    <w:rsid w:val="00A0610E"/>
    <w:rsid w:val="00A27048"/>
    <w:rsid w:val="00A35606"/>
    <w:rsid w:val="00A3723B"/>
    <w:rsid w:val="00A46B91"/>
    <w:rsid w:val="00A54236"/>
    <w:rsid w:val="00A568B8"/>
    <w:rsid w:val="00A63CFB"/>
    <w:rsid w:val="00A64864"/>
    <w:rsid w:val="00A65347"/>
    <w:rsid w:val="00A71544"/>
    <w:rsid w:val="00A75E01"/>
    <w:rsid w:val="00A81610"/>
    <w:rsid w:val="00AB006B"/>
    <w:rsid w:val="00AB56BB"/>
    <w:rsid w:val="00AC6ED0"/>
    <w:rsid w:val="00AD1331"/>
    <w:rsid w:val="00AD3504"/>
    <w:rsid w:val="00AF2055"/>
    <w:rsid w:val="00AF5014"/>
    <w:rsid w:val="00B03278"/>
    <w:rsid w:val="00B1524D"/>
    <w:rsid w:val="00B1550F"/>
    <w:rsid w:val="00B3061E"/>
    <w:rsid w:val="00B40A51"/>
    <w:rsid w:val="00B43544"/>
    <w:rsid w:val="00B50F2D"/>
    <w:rsid w:val="00B64F8D"/>
    <w:rsid w:val="00B72D93"/>
    <w:rsid w:val="00B7427F"/>
    <w:rsid w:val="00B87C14"/>
    <w:rsid w:val="00BA734C"/>
    <w:rsid w:val="00BD3E53"/>
    <w:rsid w:val="00BF11FB"/>
    <w:rsid w:val="00BF32CE"/>
    <w:rsid w:val="00BF649A"/>
    <w:rsid w:val="00C0520C"/>
    <w:rsid w:val="00C12397"/>
    <w:rsid w:val="00C31C29"/>
    <w:rsid w:val="00C31C6D"/>
    <w:rsid w:val="00C51784"/>
    <w:rsid w:val="00C51E2D"/>
    <w:rsid w:val="00C553D7"/>
    <w:rsid w:val="00C55D51"/>
    <w:rsid w:val="00C62832"/>
    <w:rsid w:val="00C774D7"/>
    <w:rsid w:val="00C840A1"/>
    <w:rsid w:val="00C914D6"/>
    <w:rsid w:val="00CA3AEA"/>
    <w:rsid w:val="00CA4314"/>
    <w:rsid w:val="00CB4CAD"/>
    <w:rsid w:val="00CD61D3"/>
    <w:rsid w:val="00CE1F45"/>
    <w:rsid w:val="00CF49F6"/>
    <w:rsid w:val="00CF7C64"/>
    <w:rsid w:val="00D0267F"/>
    <w:rsid w:val="00D02A65"/>
    <w:rsid w:val="00D04455"/>
    <w:rsid w:val="00D13523"/>
    <w:rsid w:val="00D2263F"/>
    <w:rsid w:val="00D23E02"/>
    <w:rsid w:val="00D35556"/>
    <w:rsid w:val="00D36DA2"/>
    <w:rsid w:val="00D4274C"/>
    <w:rsid w:val="00D4346E"/>
    <w:rsid w:val="00D50CDE"/>
    <w:rsid w:val="00D51678"/>
    <w:rsid w:val="00D5219C"/>
    <w:rsid w:val="00D522BF"/>
    <w:rsid w:val="00D53257"/>
    <w:rsid w:val="00D54AA6"/>
    <w:rsid w:val="00D5713E"/>
    <w:rsid w:val="00D64719"/>
    <w:rsid w:val="00D674FC"/>
    <w:rsid w:val="00D73E60"/>
    <w:rsid w:val="00D90A18"/>
    <w:rsid w:val="00D93C51"/>
    <w:rsid w:val="00D9444C"/>
    <w:rsid w:val="00DA1F07"/>
    <w:rsid w:val="00DB0C1F"/>
    <w:rsid w:val="00DB413E"/>
    <w:rsid w:val="00DB5A8F"/>
    <w:rsid w:val="00DC0530"/>
    <w:rsid w:val="00DC4B01"/>
    <w:rsid w:val="00DD602C"/>
    <w:rsid w:val="00E05315"/>
    <w:rsid w:val="00E07DCF"/>
    <w:rsid w:val="00E14B74"/>
    <w:rsid w:val="00E23189"/>
    <w:rsid w:val="00E26254"/>
    <w:rsid w:val="00E40CEE"/>
    <w:rsid w:val="00E455D4"/>
    <w:rsid w:val="00E5530E"/>
    <w:rsid w:val="00E67992"/>
    <w:rsid w:val="00E70063"/>
    <w:rsid w:val="00E73683"/>
    <w:rsid w:val="00E81365"/>
    <w:rsid w:val="00E847AA"/>
    <w:rsid w:val="00E932D1"/>
    <w:rsid w:val="00E97484"/>
    <w:rsid w:val="00EA2A98"/>
    <w:rsid w:val="00EA3267"/>
    <w:rsid w:val="00EC013F"/>
    <w:rsid w:val="00EC3E36"/>
    <w:rsid w:val="00EC6957"/>
    <w:rsid w:val="00ED22F6"/>
    <w:rsid w:val="00F10FF9"/>
    <w:rsid w:val="00F1404D"/>
    <w:rsid w:val="00F2045A"/>
    <w:rsid w:val="00F23220"/>
    <w:rsid w:val="00F2783E"/>
    <w:rsid w:val="00F332B0"/>
    <w:rsid w:val="00F34354"/>
    <w:rsid w:val="00F47D1D"/>
    <w:rsid w:val="00F97CC8"/>
    <w:rsid w:val="00FA732E"/>
    <w:rsid w:val="00FA7CD6"/>
    <w:rsid w:val="00FB5587"/>
    <w:rsid w:val="00FC05CF"/>
    <w:rsid w:val="00FC2FA7"/>
    <w:rsid w:val="00FC620F"/>
    <w:rsid w:val="00FD4C59"/>
    <w:rsid w:val="00FE4AFB"/>
    <w:rsid w:val="00FF092E"/>
    <w:rsid w:val="073D5F75"/>
    <w:rsid w:val="084AAFEC"/>
    <w:rsid w:val="08904CD6"/>
    <w:rsid w:val="0A31FEA7"/>
    <w:rsid w:val="0BEAFCD8"/>
    <w:rsid w:val="0C197084"/>
    <w:rsid w:val="0D00CDDA"/>
    <w:rsid w:val="14A547E4"/>
    <w:rsid w:val="1803DEB4"/>
    <w:rsid w:val="192599FB"/>
    <w:rsid w:val="1CB9E2F2"/>
    <w:rsid w:val="1DCBB61C"/>
    <w:rsid w:val="201F86D7"/>
    <w:rsid w:val="20CD0F60"/>
    <w:rsid w:val="217439C7"/>
    <w:rsid w:val="2381021A"/>
    <w:rsid w:val="247287EE"/>
    <w:rsid w:val="2539CAE0"/>
    <w:rsid w:val="254838E8"/>
    <w:rsid w:val="271E247B"/>
    <w:rsid w:val="2CB77AC5"/>
    <w:rsid w:val="319FD852"/>
    <w:rsid w:val="33E01CD8"/>
    <w:rsid w:val="39B9EEA7"/>
    <w:rsid w:val="39F41800"/>
    <w:rsid w:val="4217AD05"/>
    <w:rsid w:val="4241A186"/>
    <w:rsid w:val="42F289E3"/>
    <w:rsid w:val="4506C501"/>
    <w:rsid w:val="451A20C5"/>
    <w:rsid w:val="45A2C5D6"/>
    <w:rsid w:val="48A5B1A0"/>
    <w:rsid w:val="4CDA8904"/>
    <w:rsid w:val="4E5B0746"/>
    <w:rsid w:val="52AAE053"/>
    <w:rsid w:val="530A8DFD"/>
    <w:rsid w:val="5719E3FE"/>
    <w:rsid w:val="5C774A0D"/>
    <w:rsid w:val="5E3023BE"/>
    <w:rsid w:val="5E927346"/>
    <w:rsid w:val="5E9F01CC"/>
    <w:rsid w:val="62FDFC2A"/>
    <w:rsid w:val="6489E149"/>
    <w:rsid w:val="65FAD6D3"/>
    <w:rsid w:val="697D1200"/>
    <w:rsid w:val="69F3DBAA"/>
    <w:rsid w:val="6D6630CD"/>
    <w:rsid w:val="6EC1A415"/>
    <w:rsid w:val="705AF046"/>
    <w:rsid w:val="7270BED8"/>
    <w:rsid w:val="774F4F88"/>
    <w:rsid w:val="78FCE513"/>
    <w:rsid w:val="7B88B69A"/>
    <w:rsid w:val="7BF98427"/>
    <w:rsid w:val="7C9634C4"/>
    <w:rsid w:val="7E26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AF65424-FEE3-441D-A851-8C1AAF6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3278"/>
    <w:rPr>
      <w:color w:val="0000FF" w:themeColor="hyperlink"/>
      <w:u w:val="single"/>
    </w:rPr>
  </w:style>
  <w:style w:type="character" w:styleId="UnresolvedMention">
    <w:name w:val="Unresolved Mention"/>
    <w:basedOn w:val="DefaultParagraphFont"/>
    <w:uiPriority w:val="99"/>
    <w:semiHidden/>
    <w:unhideWhenUsed/>
    <w:rsid w:val="00B03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conomicliberties.us/our-work/rate-of-retu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2B1A1-9203-416A-92C3-14A61C72455B}">
  <ds:schemaRefs>
    <ds:schemaRef ds:uri="http://schemas.microsoft.com/sharepoint/v3/contenttype/forms"/>
  </ds:schemaRefs>
</ds:datastoreItem>
</file>

<file path=customXml/itemProps4.xml><?xml version="1.0" encoding="utf-8"?>
<ds:datastoreItem xmlns:ds="http://schemas.openxmlformats.org/officeDocument/2006/customXml" ds:itemID="{34C09EDF-8D1D-416F-83F8-9BC045CE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5</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21-05-15 Appendix A (Staff Concept Paper 2)</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subject/>
  <dc:creator>Jennifer Gorman</dc:creator>
  <cp:keywords/>
  <cp:lastModifiedBy>Rachel James</cp:lastModifiedBy>
  <cp:revision>150</cp:revision>
  <cp:lastPrinted>2025-03-17T14:28:00Z</cp:lastPrinted>
  <dcterms:created xsi:type="dcterms:W3CDTF">2025-03-14T13:54:00Z</dcterms:created>
  <dcterms:modified xsi:type="dcterms:W3CDTF">2025-03-17T21:12:00Z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ies>
</file>